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94AC9" w14:textId="77777777" w:rsidR="003275F1" w:rsidRPr="009615D0" w:rsidRDefault="003275F1" w:rsidP="003275F1">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after="200" w:line="276" w:lineRule="auto"/>
        <w:jc w:val="center"/>
        <w:rPr>
          <w:rFonts w:ascii="Arial" w:eastAsiaTheme="minorHAnsi" w:hAnsi="Arial" w:cs="Arial"/>
          <w:sz w:val="36"/>
          <w:szCs w:val="36"/>
          <w:lang w:eastAsia="en-US"/>
        </w:rPr>
      </w:pPr>
      <w:r w:rsidRPr="009615D0">
        <w:rPr>
          <w:rFonts w:ascii="Arial" w:eastAsiaTheme="minorHAnsi" w:hAnsi="Arial" w:cs="Arial"/>
          <w:b/>
          <w:bCs/>
          <w:sz w:val="36"/>
          <w:szCs w:val="36"/>
          <w:lang w:eastAsia="en-US"/>
        </w:rPr>
        <w:t>DIPLÔME DE COMPTABILITÉ ET DE GESTION</w:t>
      </w:r>
    </w:p>
    <w:p w14:paraId="5096DBE8" w14:textId="77777777" w:rsidR="003275F1" w:rsidRPr="009615D0" w:rsidRDefault="003275F1" w:rsidP="003275F1">
      <w:pPr>
        <w:jc w:val="left"/>
        <w:rPr>
          <w:rFonts w:ascii="Arial" w:eastAsiaTheme="minorHAnsi" w:hAnsi="Arial" w:cs="Arial"/>
          <w:sz w:val="36"/>
          <w:szCs w:val="36"/>
          <w:lang w:eastAsia="en-US"/>
        </w:rPr>
      </w:pPr>
    </w:p>
    <w:p w14:paraId="467F39C8" w14:textId="77777777" w:rsidR="003275F1" w:rsidRPr="009615D0" w:rsidRDefault="003275F1" w:rsidP="003275F1">
      <w:pPr>
        <w:jc w:val="left"/>
        <w:rPr>
          <w:rFonts w:ascii="Arial" w:hAnsi="Arial" w:cs="Arial"/>
          <w:sz w:val="36"/>
          <w:szCs w:val="36"/>
        </w:rPr>
      </w:pPr>
    </w:p>
    <w:p w14:paraId="19D89A15" w14:textId="77777777" w:rsidR="003275F1" w:rsidRPr="009615D0" w:rsidRDefault="003275F1" w:rsidP="003275F1">
      <w:pPr>
        <w:jc w:val="left"/>
        <w:rPr>
          <w:rFonts w:ascii="Arial" w:hAnsi="Arial" w:cs="Arial"/>
          <w:sz w:val="36"/>
          <w:szCs w:val="36"/>
        </w:rPr>
      </w:pPr>
    </w:p>
    <w:p w14:paraId="259BC4BD" w14:textId="77777777" w:rsidR="003275F1" w:rsidRPr="009615D0" w:rsidRDefault="003275F1" w:rsidP="003275F1">
      <w:pPr>
        <w:jc w:val="left"/>
        <w:rPr>
          <w:rFonts w:ascii="Arial" w:hAnsi="Arial" w:cs="Arial"/>
          <w:sz w:val="36"/>
          <w:szCs w:val="36"/>
        </w:rPr>
      </w:pPr>
    </w:p>
    <w:p w14:paraId="63D74779" w14:textId="77777777" w:rsidR="003275F1" w:rsidRPr="009615D0" w:rsidRDefault="003275F1" w:rsidP="003275F1">
      <w:pPr>
        <w:jc w:val="center"/>
        <w:rPr>
          <w:rFonts w:ascii="Arial" w:hAnsi="Arial" w:cs="Arial"/>
          <w:sz w:val="36"/>
          <w:szCs w:val="36"/>
        </w:rPr>
      </w:pPr>
      <w:r w:rsidRPr="009615D0">
        <w:rPr>
          <w:rFonts w:ascii="Arial" w:hAnsi="Arial" w:cs="Arial"/>
          <w:b/>
          <w:sz w:val="36"/>
          <w:szCs w:val="36"/>
        </w:rPr>
        <w:t>UE 4 – DROIT FISCAL</w:t>
      </w:r>
    </w:p>
    <w:p w14:paraId="54DDCB5E" w14:textId="77777777" w:rsidR="003275F1" w:rsidRPr="009615D0" w:rsidRDefault="003275F1" w:rsidP="003275F1">
      <w:pPr>
        <w:pStyle w:val="Titre"/>
        <w:rPr>
          <w:rFonts w:ascii="Arial" w:hAnsi="Arial" w:cs="Arial"/>
          <w:b/>
          <w:bCs/>
          <w:caps/>
          <w:sz w:val="36"/>
          <w:szCs w:val="36"/>
        </w:rPr>
      </w:pPr>
    </w:p>
    <w:p w14:paraId="5BCFA9E4" w14:textId="77777777" w:rsidR="003275F1" w:rsidRPr="009615D0" w:rsidRDefault="003275F1" w:rsidP="003275F1">
      <w:pPr>
        <w:pStyle w:val="Titre"/>
        <w:rPr>
          <w:rFonts w:ascii="Arial" w:hAnsi="Arial" w:cs="Arial"/>
          <w:b/>
          <w:bCs/>
          <w:caps/>
          <w:sz w:val="36"/>
          <w:szCs w:val="36"/>
        </w:rPr>
      </w:pPr>
    </w:p>
    <w:p w14:paraId="48B57A60" w14:textId="77777777" w:rsidR="003275F1" w:rsidRPr="009615D0" w:rsidRDefault="003275F1" w:rsidP="003275F1">
      <w:pPr>
        <w:pStyle w:val="Titre"/>
        <w:rPr>
          <w:rFonts w:ascii="Arial" w:hAnsi="Arial" w:cs="Arial"/>
          <w:b/>
          <w:bCs/>
          <w:caps/>
          <w:sz w:val="36"/>
          <w:szCs w:val="36"/>
        </w:rPr>
      </w:pPr>
      <w:r w:rsidRPr="009615D0">
        <w:rPr>
          <w:rFonts w:ascii="Arial" w:hAnsi="Arial" w:cs="Arial"/>
          <w:b/>
          <w:bCs/>
          <w:caps/>
          <w:sz w:val="36"/>
          <w:szCs w:val="36"/>
        </w:rPr>
        <w:t>SESSION 2020</w:t>
      </w:r>
    </w:p>
    <w:p w14:paraId="752499F3" w14:textId="77777777" w:rsidR="003275F1" w:rsidRPr="009615D0" w:rsidRDefault="003275F1" w:rsidP="003275F1">
      <w:pPr>
        <w:spacing w:line="259" w:lineRule="auto"/>
        <w:jc w:val="left"/>
        <w:rPr>
          <w:rFonts w:ascii="Arial" w:hAnsi="Arial" w:cs="Arial"/>
          <w:b/>
          <w:sz w:val="36"/>
          <w:szCs w:val="36"/>
        </w:rPr>
      </w:pPr>
    </w:p>
    <w:p w14:paraId="183300C2" w14:textId="77777777" w:rsidR="003275F1" w:rsidRPr="00AD107D" w:rsidRDefault="003275F1" w:rsidP="003275F1">
      <w:pPr>
        <w:tabs>
          <w:tab w:val="left" w:pos="8340"/>
        </w:tabs>
        <w:jc w:val="left"/>
        <w:rPr>
          <w:rFonts w:ascii="Arial" w:hAnsi="Arial" w:cs="Arial"/>
          <w:b/>
          <w:szCs w:val="24"/>
        </w:rPr>
      </w:pPr>
    </w:p>
    <w:p w14:paraId="77B0C127" w14:textId="4AF4BBBC" w:rsidR="003275F1" w:rsidRDefault="003275F1" w:rsidP="003275F1">
      <w:pPr>
        <w:pStyle w:val="Titre1"/>
        <w:keepNext w:val="0"/>
        <w:rPr>
          <w:rFonts w:ascii="Arial" w:hAnsi="Arial" w:cs="Arial"/>
          <w:sz w:val="24"/>
          <w:szCs w:val="24"/>
        </w:rPr>
      </w:pPr>
    </w:p>
    <w:p w14:paraId="29D3003A" w14:textId="1EBC7E40" w:rsidR="00C54179" w:rsidRDefault="00C54179" w:rsidP="00C54179"/>
    <w:p w14:paraId="4044142C" w14:textId="0EC6BB4C" w:rsidR="00C54179" w:rsidRDefault="00C54179" w:rsidP="00C54179"/>
    <w:p w14:paraId="790C07E1" w14:textId="5D97488F" w:rsidR="00C54179" w:rsidRDefault="00C54179" w:rsidP="00C54179"/>
    <w:p w14:paraId="0FC77FAD" w14:textId="7379CEA2" w:rsidR="00C54179" w:rsidRDefault="00C54179" w:rsidP="00C54179"/>
    <w:p w14:paraId="22F9254C" w14:textId="4B18A59B" w:rsidR="00C54179" w:rsidRDefault="00C54179" w:rsidP="00C54179"/>
    <w:p w14:paraId="0B9612B7" w14:textId="77777777" w:rsidR="00C54179" w:rsidRPr="00C54179" w:rsidRDefault="00C54179" w:rsidP="00C54179"/>
    <w:p w14:paraId="52EEFB97" w14:textId="77777777" w:rsidR="003275F1" w:rsidRPr="00AD107D" w:rsidRDefault="003275F1" w:rsidP="003275F1">
      <w:pPr>
        <w:jc w:val="left"/>
        <w:rPr>
          <w:rFonts w:ascii="Arial" w:hAnsi="Arial" w:cs="Arial"/>
          <w:szCs w:val="24"/>
        </w:rPr>
      </w:pPr>
    </w:p>
    <w:p w14:paraId="0C556C22" w14:textId="77777777" w:rsidR="003275F1" w:rsidRPr="00AD107D" w:rsidRDefault="003275F1" w:rsidP="003275F1">
      <w:pPr>
        <w:rPr>
          <w:rFonts w:ascii="Arial" w:hAnsi="Arial" w:cs="Arial"/>
        </w:rPr>
      </w:pPr>
    </w:p>
    <w:p w14:paraId="44221311" w14:textId="77777777" w:rsidR="003275F1" w:rsidRPr="00AD107D" w:rsidRDefault="003275F1" w:rsidP="003275F1">
      <w:pPr>
        <w:rPr>
          <w:rFonts w:ascii="Arial" w:hAnsi="Arial" w:cs="Arial"/>
        </w:rPr>
      </w:pPr>
    </w:p>
    <w:p w14:paraId="6A424E49" w14:textId="77777777" w:rsidR="003275F1" w:rsidRPr="00AD107D" w:rsidRDefault="003275F1" w:rsidP="003275F1">
      <w:pPr>
        <w:rPr>
          <w:rFonts w:ascii="Arial" w:hAnsi="Arial" w:cs="Arial"/>
        </w:rPr>
      </w:pPr>
    </w:p>
    <w:p w14:paraId="0CC241EE" w14:textId="77777777" w:rsidR="003275F1" w:rsidRPr="00AD107D" w:rsidRDefault="003275F1" w:rsidP="003275F1">
      <w:pPr>
        <w:shd w:val="clear" w:color="auto" w:fill="FFFFFF"/>
        <w:rPr>
          <w:rFonts w:ascii="Arial" w:hAnsi="Arial" w:cs="Arial"/>
          <w:b/>
          <w:bCs/>
          <w:color w:val="000000"/>
          <w:spacing w:val="-5"/>
          <w:sz w:val="22"/>
        </w:rPr>
      </w:pPr>
    </w:p>
    <w:p w14:paraId="73BD9C17" w14:textId="77777777" w:rsidR="00326E25" w:rsidRPr="00326E25" w:rsidRDefault="00326E25" w:rsidP="00326E25">
      <w:pPr>
        <w:pBdr>
          <w:top w:val="single" w:sz="4" w:space="1" w:color="auto"/>
          <w:left w:val="single" w:sz="4" w:space="4" w:color="auto"/>
          <w:bottom w:val="single" w:sz="4" w:space="1" w:color="auto"/>
          <w:right w:val="single" w:sz="4" w:space="4" w:color="auto"/>
        </w:pBdr>
        <w:jc w:val="center"/>
        <w:rPr>
          <w:rFonts w:ascii="Arial" w:hAnsi="Arial" w:cs="Arial"/>
          <w:sz w:val="28"/>
          <w:szCs w:val="28"/>
        </w:rPr>
      </w:pPr>
      <w:r w:rsidRPr="00326E25">
        <w:rPr>
          <w:rFonts w:ascii="Arial" w:hAnsi="Arial" w:cs="Arial"/>
          <w:sz w:val="28"/>
          <w:szCs w:val="28"/>
        </w:rPr>
        <w:t xml:space="preserve">Éléments indicatifs de corrigé </w:t>
      </w:r>
    </w:p>
    <w:p w14:paraId="18013021" w14:textId="77777777" w:rsidR="003275F1" w:rsidRPr="00AD107D" w:rsidRDefault="003275F1" w:rsidP="003275F1">
      <w:pPr>
        <w:jc w:val="left"/>
        <w:rPr>
          <w:rFonts w:ascii="Arial" w:hAnsi="Arial" w:cs="Arial"/>
          <w:color w:val="000000"/>
          <w:spacing w:val="-7"/>
          <w:sz w:val="22"/>
        </w:rPr>
      </w:pPr>
    </w:p>
    <w:p w14:paraId="00A0183E" w14:textId="77777777" w:rsidR="003275F1" w:rsidRPr="00AD107D" w:rsidRDefault="003275F1" w:rsidP="003275F1">
      <w:pPr>
        <w:jc w:val="left"/>
        <w:rPr>
          <w:rFonts w:ascii="Arial" w:hAnsi="Arial" w:cs="Arial"/>
          <w:color w:val="000000"/>
          <w:spacing w:val="-7"/>
          <w:sz w:val="22"/>
        </w:rPr>
      </w:pPr>
    </w:p>
    <w:p w14:paraId="18CEA31F" w14:textId="77777777" w:rsidR="003275F1" w:rsidRPr="00AD107D" w:rsidRDefault="003275F1" w:rsidP="003275F1">
      <w:pPr>
        <w:jc w:val="left"/>
        <w:rPr>
          <w:rFonts w:ascii="Arial" w:hAnsi="Arial" w:cs="Arial"/>
          <w:color w:val="000000"/>
          <w:spacing w:val="-7"/>
          <w:sz w:val="22"/>
        </w:rPr>
      </w:pPr>
    </w:p>
    <w:p w14:paraId="4A549043" w14:textId="77777777" w:rsidR="003275F1" w:rsidRPr="00AD107D" w:rsidRDefault="003275F1" w:rsidP="003275F1">
      <w:pPr>
        <w:jc w:val="left"/>
        <w:rPr>
          <w:rFonts w:ascii="Arial" w:hAnsi="Arial" w:cs="Arial"/>
          <w:color w:val="000000"/>
          <w:spacing w:val="-7"/>
          <w:sz w:val="22"/>
        </w:rPr>
      </w:pPr>
    </w:p>
    <w:p w14:paraId="292F41EE" w14:textId="77777777" w:rsidR="003275F1" w:rsidRPr="00AD107D" w:rsidRDefault="003275F1" w:rsidP="003275F1">
      <w:pPr>
        <w:jc w:val="left"/>
        <w:rPr>
          <w:rFonts w:ascii="Arial" w:hAnsi="Arial" w:cs="Arial"/>
          <w:color w:val="000000"/>
          <w:spacing w:val="-7"/>
          <w:sz w:val="22"/>
        </w:rPr>
      </w:pPr>
    </w:p>
    <w:p w14:paraId="150112B1" w14:textId="77777777" w:rsidR="003275F1" w:rsidRPr="00AD107D" w:rsidRDefault="003275F1" w:rsidP="003275F1">
      <w:pPr>
        <w:jc w:val="left"/>
        <w:rPr>
          <w:rFonts w:ascii="Arial" w:hAnsi="Arial" w:cs="Arial"/>
          <w:color w:val="000000"/>
          <w:spacing w:val="-7"/>
          <w:sz w:val="22"/>
        </w:rPr>
      </w:pPr>
    </w:p>
    <w:p w14:paraId="6536D1DC" w14:textId="77777777" w:rsidR="003275F1" w:rsidRPr="00AD107D" w:rsidRDefault="003275F1" w:rsidP="003275F1">
      <w:pPr>
        <w:jc w:val="left"/>
        <w:rPr>
          <w:rFonts w:ascii="Arial" w:hAnsi="Arial" w:cs="Arial"/>
          <w:color w:val="000000"/>
          <w:spacing w:val="-7"/>
          <w:sz w:val="22"/>
        </w:rPr>
      </w:pPr>
    </w:p>
    <w:p w14:paraId="3B7E42EA" w14:textId="77777777" w:rsidR="00326E25" w:rsidRDefault="003275F1" w:rsidP="00326E25">
      <w:pPr>
        <w:jc w:val="left"/>
        <w:rPr>
          <w:rFonts w:ascii="Arial" w:hAnsi="Arial" w:cs="Arial"/>
          <w:color w:val="000000"/>
          <w:spacing w:val="-7"/>
          <w:sz w:val="22"/>
        </w:rPr>
      </w:pPr>
      <w:r w:rsidRPr="00AD107D">
        <w:rPr>
          <w:rFonts w:ascii="Arial" w:hAnsi="Arial" w:cs="Arial"/>
          <w:color w:val="000000"/>
          <w:spacing w:val="-7"/>
          <w:sz w:val="22"/>
        </w:rPr>
        <w:br w:type="page"/>
      </w:r>
    </w:p>
    <w:p w14:paraId="4241751C" w14:textId="77777777" w:rsidR="00326E25" w:rsidRDefault="00326E25" w:rsidP="00326E2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color w:val="000000"/>
          <w:spacing w:val="-7"/>
          <w:sz w:val="22"/>
        </w:rPr>
      </w:pPr>
    </w:p>
    <w:p w14:paraId="0602E6FD" w14:textId="75D9DEB3" w:rsidR="003275F1" w:rsidRDefault="00D04D05" w:rsidP="00326E2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bCs/>
          <w:color w:val="000000"/>
          <w:szCs w:val="24"/>
        </w:rPr>
      </w:pPr>
      <w:r w:rsidRPr="00326E25">
        <w:rPr>
          <w:rFonts w:ascii="Arial" w:hAnsi="Arial" w:cs="Arial"/>
          <w:b/>
          <w:bCs/>
          <w:color w:val="000000"/>
          <w:szCs w:val="24"/>
        </w:rPr>
        <w:t>DOSSIER 1</w:t>
      </w:r>
      <w:r w:rsidR="003275F1" w:rsidRPr="00326E25">
        <w:rPr>
          <w:rFonts w:ascii="Arial" w:hAnsi="Arial" w:cs="Arial"/>
          <w:b/>
          <w:bCs/>
          <w:color w:val="000000"/>
          <w:szCs w:val="24"/>
        </w:rPr>
        <w:t> </w:t>
      </w:r>
      <w:r w:rsidRPr="00326E25">
        <w:rPr>
          <w:rFonts w:ascii="Arial" w:hAnsi="Arial" w:cs="Arial"/>
          <w:b/>
          <w:bCs/>
          <w:color w:val="000000"/>
          <w:szCs w:val="24"/>
        </w:rPr>
        <w:t>– TAXE SUR LA VALEUR AJOUT</w:t>
      </w:r>
      <w:r w:rsidR="00F830B1" w:rsidRPr="00326E25">
        <w:rPr>
          <w:rFonts w:ascii="Arial" w:hAnsi="Arial" w:cs="Arial"/>
          <w:b/>
          <w:bCs/>
          <w:color w:val="000000"/>
          <w:szCs w:val="24"/>
        </w:rPr>
        <w:t>É</w:t>
      </w:r>
      <w:r w:rsidRPr="00326E25">
        <w:rPr>
          <w:rFonts w:ascii="Arial" w:hAnsi="Arial" w:cs="Arial"/>
          <w:b/>
          <w:bCs/>
          <w:color w:val="000000"/>
          <w:szCs w:val="24"/>
        </w:rPr>
        <w:t>E</w:t>
      </w:r>
      <w:r w:rsidR="001E0CF9" w:rsidRPr="00326E25">
        <w:rPr>
          <w:rFonts w:ascii="Arial" w:hAnsi="Arial" w:cs="Arial"/>
          <w:b/>
          <w:bCs/>
          <w:color w:val="000000"/>
          <w:szCs w:val="24"/>
        </w:rPr>
        <w:t xml:space="preserve"> </w:t>
      </w:r>
    </w:p>
    <w:p w14:paraId="64368537" w14:textId="77777777" w:rsidR="00326E25" w:rsidRPr="00326E25" w:rsidRDefault="00326E25" w:rsidP="00326E2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bCs/>
          <w:color w:val="000000"/>
          <w:szCs w:val="24"/>
        </w:rPr>
      </w:pPr>
    </w:p>
    <w:p w14:paraId="0C7E8E58" w14:textId="008C175F" w:rsidR="007A7185" w:rsidRDefault="007A7185" w:rsidP="003275F1">
      <w:pPr>
        <w:tabs>
          <w:tab w:val="left" w:pos="851"/>
          <w:tab w:val="left" w:pos="1418"/>
        </w:tabs>
        <w:rPr>
          <w:rFonts w:ascii="Arial" w:hAnsi="Arial" w:cs="Arial"/>
          <w:bCs/>
          <w:color w:val="000000"/>
          <w:sz w:val="22"/>
        </w:rPr>
      </w:pPr>
    </w:p>
    <w:p w14:paraId="6B20F04B" w14:textId="3D91AF2C" w:rsidR="007A7185" w:rsidRPr="00876257" w:rsidRDefault="00432AC7" w:rsidP="00876257">
      <w:pPr>
        <w:rPr>
          <w:rFonts w:ascii="Arial" w:hAnsi="Arial" w:cs="Arial"/>
          <w:b/>
          <w:sz w:val="22"/>
        </w:rPr>
      </w:pPr>
      <w:r w:rsidRPr="00876257">
        <w:rPr>
          <w:rFonts w:ascii="Arial" w:hAnsi="Arial" w:cs="Arial"/>
          <w:b/>
          <w:sz w:val="22"/>
        </w:rPr>
        <w:t>1</w:t>
      </w:r>
      <w:r w:rsidRPr="00876257">
        <w:rPr>
          <w:rFonts w:ascii="Arial" w:hAnsi="Arial" w:cs="Arial"/>
          <w:b/>
          <w:sz w:val="22"/>
          <w:vertAlign w:val="superscript"/>
        </w:rPr>
        <w:t>ère</w:t>
      </w:r>
      <w:r w:rsidRPr="00876257">
        <w:rPr>
          <w:rFonts w:ascii="Arial" w:hAnsi="Arial" w:cs="Arial"/>
          <w:b/>
          <w:sz w:val="22"/>
        </w:rPr>
        <w:t xml:space="preserve"> mission</w:t>
      </w:r>
      <w:r w:rsidR="00876257">
        <w:rPr>
          <w:rFonts w:ascii="Arial" w:hAnsi="Arial" w:cs="Arial"/>
          <w:b/>
          <w:sz w:val="22"/>
        </w:rPr>
        <w:t> :</w:t>
      </w:r>
      <w:r w:rsidR="007A7185" w:rsidRPr="00876257">
        <w:rPr>
          <w:rFonts w:ascii="Arial" w:hAnsi="Arial" w:cs="Arial"/>
          <w:b/>
          <w:sz w:val="22"/>
        </w:rPr>
        <w:t> </w:t>
      </w:r>
      <w:r w:rsidR="00876257">
        <w:rPr>
          <w:rFonts w:ascii="Arial" w:hAnsi="Arial" w:cs="Arial"/>
          <w:b/>
          <w:sz w:val="22"/>
        </w:rPr>
        <w:t>f</w:t>
      </w:r>
      <w:r w:rsidR="0027237C" w:rsidRPr="00876257">
        <w:rPr>
          <w:rFonts w:ascii="Arial" w:hAnsi="Arial" w:cs="Arial"/>
          <w:b/>
          <w:sz w:val="22"/>
        </w:rPr>
        <w:t>acturation des prestations de logistique et impacts en matière de TVA</w:t>
      </w:r>
      <w:r w:rsidR="00876257">
        <w:rPr>
          <w:rFonts w:ascii="Arial" w:hAnsi="Arial" w:cs="Arial"/>
          <w:b/>
          <w:sz w:val="22"/>
        </w:rPr>
        <w:t>.</w:t>
      </w:r>
    </w:p>
    <w:p w14:paraId="0508E073" w14:textId="0D444F62" w:rsidR="00BB31E2" w:rsidRPr="001A13F2" w:rsidRDefault="00652C1A" w:rsidP="001A13F2">
      <w:pPr>
        <w:pStyle w:val="Paragraphedeliste"/>
        <w:numPr>
          <w:ilvl w:val="1"/>
          <w:numId w:val="21"/>
        </w:numPr>
        <w:spacing w:after="120" w:line="276" w:lineRule="auto"/>
        <w:rPr>
          <w:rFonts w:ascii="Arial" w:hAnsi="Arial" w:cs="Arial"/>
          <w:b/>
        </w:rPr>
      </w:pPr>
      <w:r w:rsidRPr="001A13F2">
        <w:rPr>
          <w:rFonts w:ascii="Arial" w:hAnsi="Arial" w:cs="Arial"/>
          <w:b/>
        </w:rPr>
        <w:t>En utilisant</w:t>
      </w:r>
      <w:r w:rsidR="00BB31E2" w:rsidRPr="001A13F2">
        <w:rPr>
          <w:rFonts w:ascii="Arial" w:hAnsi="Arial" w:cs="Arial"/>
          <w:b/>
        </w:rPr>
        <w:t xml:space="preserve"> </w:t>
      </w:r>
      <w:r w:rsidR="00BF65CF" w:rsidRPr="001A13F2">
        <w:rPr>
          <w:rFonts w:ascii="Arial" w:hAnsi="Arial" w:cs="Arial"/>
          <w:b/>
        </w:rPr>
        <w:t>le</w:t>
      </w:r>
      <w:r w:rsidR="00BB31E2" w:rsidRPr="001A13F2">
        <w:rPr>
          <w:rFonts w:ascii="Arial" w:hAnsi="Arial" w:cs="Arial"/>
          <w:b/>
        </w:rPr>
        <w:t xml:space="preserve"> </w:t>
      </w:r>
      <w:r w:rsidR="00BF65CF" w:rsidRPr="001A13F2">
        <w:rPr>
          <w:rFonts w:ascii="Arial" w:hAnsi="Arial" w:cs="Arial"/>
          <w:b/>
        </w:rPr>
        <w:t xml:space="preserve">modèle de </w:t>
      </w:r>
      <w:r w:rsidR="00BB31E2" w:rsidRPr="001A13F2">
        <w:rPr>
          <w:rFonts w:ascii="Arial" w:hAnsi="Arial" w:cs="Arial"/>
          <w:b/>
        </w:rPr>
        <w:t>tableau ci-dessous :</w:t>
      </w:r>
      <w:r w:rsidR="001E0CF9" w:rsidRPr="001A13F2">
        <w:rPr>
          <w:rFonts w:ascii="Arial" w:hAnsi="Arial" w:cs="Arial"/>
          <w:b/>
        </w:rPr>
        <w:t xml:space="preserve"> </w:t>
      </w:r>
    </w:p>
    <w:p w14:paraId="40974AE8" w14:textId="171ECE24" w:rsidR="00BB31E2" w:rsidRPr="00BB31E2" w:rsidRDefault="00BB31E2" w:rsidP="00BB31E2">
      <w:pPr>
        <w:pStyle w:val="Paragraphedeliste"/>
        <w:numPr>
          <w:ilvl w:val="0"/>
          <w:numId w:val="18"/>
        </w:numPr>
        <w:spacing w:after="120" w:line="276" w:lineRule="auto"/>
        <w:ind w:left="1276" w:hanging="283"/>
        <w:jc w:val="both"/>
        <w:rPr>
          <w:rFonts w:ascii="Arial" w:hAnsi="Arial" w:cs="Arial"/>
          <w:b/>
        </w:rPr>
      </w:pPr>
      <w:r w:rsidRPr="00BB31E2">
        <w:rPr>
          <w:rFonts w:ascii="Arial" w:hAnsi="Arial" w:cs="Arial"/>
          <w:b/>
        </w:rPr>
        <w:t>Qualifie</w:t>
      </w:r>
      <w:r w:rsidR="00BF65CF">
        <w:rPr>
          <w:rFonts w:ascii="Arial" w:hAnsi="Arial" w:cs="Arial"/>
          <w:b/>
        </w:rPr>
        <w:t>r</w:t>
      </w:r>
      <w:r w:rsidRPr="00BB31E2">
        <w:rPr>
          <w:rFonts w:ascii="Arial" w:hAnsi="Arial" w:cs="Arial"/>
          <w:b/>
        </w:rPr>
        <w:t xml:space="preserve"> chacune des opérations</w:t>
      </w:r>
      <w:r w:rsidR="00652C1A">
        <w:rPr>
          <w:rFonts w:ascii="Arial" w:hAnsi="Arial" w:cs="Arial"/>
          <w:b/>
        </w:rPr>
        <w:t xml:space="preserve"> </w:t>
      </w:r>
      <w:r w:rsidR="00876257">
        <w:rPr>
          <w:rFonts w:ascii="Arial" w:hAnsi="Arial" w:cs="Arial"/>
          <w:b/>
        </w:rPr>
        <w:t xml:space="preserve">présentées dans le document 2 </w:t>
      </w:r>
      <w:r w:rsidRPr="00BB31E2">
        <w:rPr>
          <w:rFonts w:ascii="Arial" w:hAnsi="Arial" w:cs="Arial"/>
          <w:b/>
        </w:rPr>
        <w:t>;</w:t>
      </w:r>
    </w:p>
    <w:p w14:paraId="072189CA" w14:textId="7199FB1A" w:rsidR="00BB31E2" w:rsidRPr="00BB31E2" w:rsidRDefault="00BB31E2" w:rsidP="00BB31E2">
      <w:pPr>
        <w:pStyle w:val="Paragraphedeliste"/>
        <w:numPr>
          <w:ilvl w:val="0"/>
          <w:numId w:val="18"/>
        </w:numPr>
        <w:spacing w:after="120" w:line="276" w:lineRule="auto"/>
        <w:ind w:left="1276" w:hanging="283"/>
        <w:jc w:val="both"/>
        <w:rPr>
          <w:rFonts w:ascii="Arial" w:hAnsi="Arial" w:cs="Arial"/>
          <w:b/>
        </w:rPr>
      </w:pPr>
      <w:r w:rsidRPr="00BB31E2">
        <w:rPr>
          <w:rFonts w:ascii="Arial" w:hAnsi="Arial" w:cs="Arial"/>
          <w:b/>
        </w:rPr>
        <w:t>Détermine</w:t>
      </w:r>
      <w:r w:rsidR="00BF65CF">
        <w:rPr>
          <w:rFonts w:ascii="Arial" w:hAnsi="Arial" w:cs="Arial"/>
          <w:b/>
        </w:rPr>
        <w:t>r</w:t>
      </w:r>
      <w:r w:rsidRPr="00BB31E2">
        <w:rPr>
          <w:rFonts w:ascii="Arial" w:hAnsi="Arial" w:cs="Arial"/>
          <w:b/>
        </w:rPr>
        <w:t xml:space="preserve"> le traitement fiscal applicable </w:t>
      </w:r>
      <w:r w:rsidR="00652C1A">
        <w:rPr>
          <w:rFonts w:ascii="Arial" w:hAnsi="Arial" w:cs="Arial"/>
          <w:b/>
        </w:rPr>
        <w:t xml:space="preserve">à chacune d’elles </w:t>
      </w:r>
      <w:r w:rsidRPr="00BB31E2">
        <w:rPr>
          <w:rFonts w:ascii="Arial" w:hAnsi="Arial" w:cs="Arial"/>
          <w:b/>
        </w:rPr>
        <w:t>en matière de TVA ;</w:t>
      </w:r>
    </w:p>
    <w:p w14:paraId="2CAFC641" w14:textId="6C0883C6" w:rsidR="00BB31E2" w:rsidRPr="00BB31E2" w:rsidRDefault="00BB31E2" w:rsidP="00BB31E2">
      <w:pPr>
        <w:pStyle w:val="Paragraphedeliste"/>
        <w:numPr>
          <w:ilvl w:val="0"/>
          <w:numId w:val="18"/>
        </w:numPr>
        <w:spacing w:after="120" w:line="276" w:lineRule="auto"/>
        <w:ind w:left="1276" w:hanging="283"/>
        <w:jc w:val="both"/>
        <w:rPr>
          <w:rFonts w:ascii="Arial" w:hAnsi="Arial" w:cs="Arial"/>
          <w:b/>
        </w:rPr>
      </w:pPr>
      <w:r w:rsidRPr="00BB31E2">
        <w:rPr>
          <w:rFonts w:ascii="Arial" w:hAnsi="Arial" w:cs="Arial"/>
          <w:b/>
        </w:rPr>
        <w:t>Calcule</w:t>
      </w:r>
      <w:r w:rsidR="00BF65CF">
        <w:rPr>
          <w:rFonts w:ascii="Arial" w:hAnsi="Arial" w:cs="Arial"/>
          <w:b/>
        </w:rPr>
        <w:t>r</w:t>
      </w:r>
      <w:r w:rsidRPr="00BB31E2">
        <w:rPr>
          <w:rFonts w:ascii="Arial" w:hAnsi="Arial" w:cs="Arial"/>
          <w:b/>
        </w:rPr>
        <w:t xml:space="preserve"> le montant de la TVA dû au titre du mois de septembre 2019.</w:t>
      </w:r>
      <w:r w:rsidR="001E0CF9">
        <w:rPr>
          <w:rFonts w:ascii="Arial" w:hAnsi="Arial" w:cs="Arial"/>
          <w:b/>
        </w:rPr>
        <w:t xml:space="preserve"> </w:t>
      </w:r>
    </w:p>
    <w:tbl>
      <w:tblPr>
        <w:tblStyle w:val="Grilledutableau"/>
        <w:tblW w:w="0" w:type="auto"/>
        <w:tblBorders>
          <w:bottom w:val="none" w:sz="0" w:space="0" w:color="auto"/>
        </w:tblBorders>
        <w:tblLook w:val="04A0" w:firstRow="1" w:lastRow="0" w:firstColumn="1" w:lastColumn="0" w:noHBand="0" w:noVBand="1"/>
      </w:tblPr>
      <w:tblGrid>
        <w:gridCol w:w="1545"/>
        <w:gridCol w:w="1984"/>
        <w:gridCol w:w="3500"/>
        <w:gridCol w:w="1394"/>
        <w:gridCol w:w="1431"/>
      </w:tblGrid>
      <w:tr w:rsidR="004E04F7" w14:paraId="1DFAB9E6" w14:textId="77777777" w:rsidTr="00326E25">
        <w:trPr>
          <w:tblHeader/>
        </w:trPr>
        <w:tc>
          <w:tcPr>
            <w:tcW w:w="1545" w:type="dxa"/>
            <w:tcBorders>
              <w:bottom w:val="single" w:sz="4" w:space="0" w:color="auto"/>
            </w:tcBorders>
            <w:vAlign w:val="center"/>
          </w:tcPr>
          <w:p w14:paraId="5F1B9162" w14:textId="77777777" w:rsidR="009B0FBE" w:rsidRPr="00887954" w:rsidRDefault="009B0FBE" w:rsidP="00CD06E5">
            <w:pPr>
              <w:jc w:val="center"/>
              <w:rPr>
                <w:rFonts w:ascii="Arial" w:hAnsi="Arial" w:cs="Arial"/>
                <w:b/>
                <w:sz w:val="20"/>
              </w:rPr>
            </w:pPr>
            <w:r w:rsidRPr="00887954">
              <w:rPr>
                <w:rFonts w:ascii="Arial" w:hAnsi="Arial" w:cs="Arial"/>
                <w:b/>
                <w:sz w:val="20"/>
              </w:rPr>
              <w:t>Nature de l’opération</w:t>
            </w:r>
          </w:p>
        </w:tc>
        <w:tc>
          <w:tcPr>
            <w:tcW w:w="1984" w:type="dxa"/>
            <w:tcBorders>
              <w:bottom w:val="single" w:sz="4" w:space="0" w:color="auto"/>
            </w:tcBorders>
            <w:vAlign w:val="center"/>
          </w:tcPr>
          <w:p w14:paraId="3FA5335E" w14:textId="77777777" w:rsidR="009B0FBE" w:rsidRPr="00887954" w:rsidRDefault="009B0FBE" w:rsidP="00CD06E5">
            <w:pPr>
              <w:jc w:val="center"/>
              <w:rPr>
                <w:rFonts w:ascii="Arial" w:hAnsi="Arial" w:cs="Arial"/>
                <w:b/>
                <w:sz w:val="20"/>
              </w:rPr>
            </w:pPr>
            <w:r w:rsidRPr="00887954">
              <w:rPr>
                <w:rFonts w:ascii="Arial" w:hAnsi="Arial" w:cs="Arial"/>
                <w:b/>
                <w:sz w:val="20"/>
              </w:rPr>
              <w:t>Qualification fiscale de l’opération</w:t>
            </w:r>
          </w:p>
        </w:tc>
        <w:tc>
          <w:tcPr>
            <w:tcW w:w="3500" w:type="dxa"/>
            <w:tcBorders>
              <w:bottom w:val="single" w:sz="4" w:space="0" w:color="auto"/>
            </w:tcBorders>
            <w:vAlign w:val="center"/>
          </w:tcPr>
          <w:p w14:paraId="3FB08406" w14:textId="77777777" w:rsidR="009B0FBE" w:rsidRPr="00887954" w:rsidRDefault="009B0FBE" w:rsidP="00CD06E5">
            <w:pPr>
              <w:jc w:val="center"/>
              <w:rPr>
                <w:rFonts w:ascii="Arial" w:hAnsi="Arial" w:cs="Arial"/>
                <w:b/>
                <w:sz w:val="20"/>
              </w:rPr>
            </w:pPr>
            <w:r w:rsidRPr="00887954">
              <w:rPr>
                <w:rFonts w:ascii="Arial" w:hAnsi="Arial" w:cs="Arial"/>
                <w:b/>
                <w:sz w:val="20"/>
              </w:rPr>
              <w:t>Ana</w:t>
            </w:r>
            <w:r>
              <w:rPr>
                <w:rFonts w:ascii="Arial" w:hAnsi="Arial" w:cs="Arial"/>
                <w:b/>
                <w:sz w:val="20"/>
              </w:rPr>
              <w:t>lyse fiscale (Règle de droit + A</w:t>
            </w:r>
            <w:r w:rsidRPr="00887954">
              <w:rPr>
                <w:rFonts w:ascii="Arial" w:hAnsi="Arial" w:cs="Arial"/>
                <w:b/>
                <w:sz w:val="20"/>
              </w:rPr>
              <w:t>pplication en l’espèce)</w:t>
            </w:r>
          </w:p>
        </w:tc>
        <w:tc>
          <w:tcPr>
            <w:tcW w:w="1394" w:type="dxa"/>
            <w:tcBorders>
              <w:bottom w:val="single" w:sz="4" w:space="0" w:color="auto"/>
            </w:tcBorders>
            <w:vAlign w:val="center"/>
          </w:tcPr>
          <w:p w14:paraId="71C5C314" w14:textId="77777777" w:rsidR="009B0FBE" w:rsidRPr="00887954" w:rsidRDefault="009B0FBE" w:rsidP="00CD06E5">
            <w:pPr>
              <w:jc w:val="center"/>
              <w:rPr>
                <w:rFonts w:ascii="Arial" w:hAnsi="Arial" w:cs="Arial"/>
                <w:b/>
                <w:sz w:val="20"/>
              </w:rPr>
            </w:pPr>
            <w:r w:rsidRPr="00887954">
              <w:rPr>
                <w:rFonts w:ascii="Arial" w:hAnsi="Arial" w:cs="Arial"/>
                <w:b/>
                <w:sz w:val="20"/>
              </w:rPr>
              <w:t>TVA déductible</w:t>
            </w:r>
          </w:p>
        </w:tc>
        <w:tc>
          <w:tcPr>
            <w:tcW w:w="1431" w:type="dxa"/>
            <w:tcBorders>
              <w:bottom w:val="single" w:sz="4" w:space="0" w:color="auto"/>
            </w:tcBorders>
            <w:vAlign w:val="center"/>
          </w:tcPr>
          <w:p w14:paraId="62E7FD6B" w14:textId="77777777" w:rsidR="00937D52" w:rsidRDefault="009B0FBE" w:rsidP="00CD06E5">
            <w:pPr>
              <w:jc w:val="center"/>
              <w:rPr>
                <w:rFonts w:ascii="Arial" w:hAnsi="Arial" w:cs="Arial"/>
                <w:b/>
                <w:sz w:val="20"/>
              </w:rPr>
            </w:pPr>
            <w:r w:rsidRPr="00887954">
              <w:rPr>
                <w:rFonts w:ascii="Arial" w:hAnsi="Arial" w:cs="Arial"/>
                <w:b/>
                <w:sz w:val="20"/>
              </w:rPr>
              <w:t xml:space="preserve">TVA </w:t>
            </w:r>
          </w:p>
          <w:p w14:paraId="4AD9BB7E" w14:textId="099C8BE0" w:rsidR="009B0FBE" w:rsidRPr="00887954" w:rsidRDefault="00112928" w:rsidP="00CD06E5">
            <w:pPr>
              <w:jc w:val="center"/>
              <w:rPr>
                <w:rFonts w:ascii="Arial" w:hAnsi="Arial" w:cs="Arial"/>
                <w:b/>
                <w:sz w:val="20"/>
              </w:rPr>
            </w:pPr>
            <w:r w:rsidRPr="00887954">
              <w:rPr>
                <w:rFonts w:ascii="Arial" w:hAnsi="Arial" w:cs="Arial"/>
                <w:b/>
                <w:sz w:val="20"/>
              </w:rPr>
              <w:t>Exigible</w:t>
            </w:r>
          </w:p>
        </w:tc>
      </w:tr>
      <w:tr w:rsidR="00865883" w14:paraId="18076117" w14:textId="77777777" w:rsidTr="00326E25">
        <w:trPr>
          <w:tblHeader/>
        </w:trPr>
        <w:tc>
          <w:tcPr>
            <w:tcW w:w="1545" w:type="dxa"/>
            <w:vAlign w:val="center"/>
          </w:tcPr>
          <w:p w14:paraId="36BA8053" w14:textId="1CD93647" w:rsidR="009B0FBE" w:rsidRPr="00865883" w:rsidRDefault="009B0FBE" w:rsidP="004E04F7">
            <w:pPr>
              <w:jc w:val="center"/>
              <w:rPr>
                <w:rFonts w:ascii="Arial" w:hAnsi="Arial" w:cs="Arial"/>
                <w:sz w:val="20"/>
                <w:szCs w:val="20"/>
              </w:rPr>
            </w:pPr>
            <w:r w:rsidRPr="00865883">
              <w:rPr>
                <w:rFonts w:ascii="Arial" w:hAnsi="Arial" w:cs="Arial"/>
                <w:sz w:val="20"/>
                <w:szCs w:val="20"/>
              </w:rPr>
              <w:t xml:space="preserve">Ventes </w:t>
            </w:r>
            <w:r w:rsidR="004E04F7">
              <w:rPr>
                <w:rFonts w:ascii="Arial" w:hAnsi="Arial" w:cs="Arial"/>
                <w:sz w:val="20"/>
                <w:szCs w:val="20"/>
              </w:rPr>
              <w:t xml:space="preserve">en France au taux de </w:t>
            </w:r>
            <w:r w:rsidRPr="00865883">
              <w:rPr>
                <w:rFonts w:ascii="Arial" w:hAnsi="Arial" w:cs="Arial"/>
                <w:sz w:val="20"/>
                <w:szCs w:val="20"/>
              </w:rPr>
              <w:t>5,5 %</w:t>
            </w:r>
          </w:p>
        </w:tc>
        <w:tc>
          <w:tcPr>
            <w:tcW w:w="1984" w:type="dxa"/>
            <w:vAlign w:val="center"/>
          </w:tcPr>
          <w:p w14:paraId="2BD9CCD7" w14:textId="1897AA1D" w:rsidR="009B0FBE" w:rsidRPr="00865883" w:rsidRDefault="009B0FBE" w:rsidP="00CD06E5">
            <w:pPr>
              <w:jc w:val="center"/>
              <w:rPr>
                <w:rFonts w:ascii="Arial" w:hAnsi="Arial" w:cs="Arial"/>
                <w:sz w:val="20"/>
                <w:szCs w:val="20"/>
              </w:rPr>
            </w:pPr>
            <w:r w:rsidRPr="00865883">
              <w:rPr>
                <w:rFonts w:ascii="Arial" w:hAnsi="Arial" w:cs="Arial"/>
                <w:sz w:val="20"/>
                <w:szCs w:val="20"/>
              </w:rPr>
              <w:t xml:space="preserve">Livraison de biens </w:t>
            </w:r>
          </w:p>
        </w:tc>
        <w:tc>
          <w:tcPr>
            <w:tcW w:w="3500" w:type="dxa"/>
            <w:vAlign w:val="center"/>
          </w:tcPr>
          <w:p w14:paraId="720820B6" w14:textId="7913BCDD" w:rsidR="009B0FBE" w:rsidRPr="00865883" w:rsidRDefault="009B0FBE" w:rsidP="009B0FBE">
            <w:pPr>
              <w:tabs>
                <w:tab w:val="left" w:pos="317"/>
                <w:tab w:val="left" w:pos="1418"/>
              </w:tabs>
              <w:spacing w:line="276" w:lineRule="auto"/>
              <w:rPr>
                <w:rFonts w:ascii="Arial" w:hAnsi="Arial" w:cs="Arial"/>
                <w:b/>
                <w:bCs/>
                <w:color w:val="000000"/>
                <w:sz w:val="20"/>
                <w:szCs w:val="20"/>
              </w:rPr>
            </w:pPr>
            <w:r w:rsidRPr="00865883">
              <w:rPr>
                <w:rFonts w:ascii="Arial" w:hAnsi="Arial" w:cs="Arial"/>
                <w:b/>
                <w:bCs/>
                <w:color w:val="000000"/>
                <w:sz w:val="20"/>
                <w:szCs w:val="20"/>
              </w:rPr>
              <w:t xml:space="preserve">En principe, </w:t>
            </w:r>
            <w:r w:rsidRPr="00865883">
              <w:rPr>
                <w:rFonts w:ascii="Arial" w:hAnsi="Arial" w:cs="Arial"/>
                <w:bCs/>
                <w:color w:val="000000"/>
                <w:sz w:val="20"/>
                <w:szCs w:val="20"/>
              </w:rPr>
              <w:t>la TVA sur les ventes de biens en France est exigible dès la livraison.</w:t>
            </w:r>
            <w:r w:rsidRPr="00865883">
              <w:rPr>
                <w:rFonts w:ascii="Arial" w:hAnsi="Arial" w:cs="Arial"/>
                <w:b/>
                <w:bCs/>
                <w:color w:val="000000"/>
                <w:sz w:val="20"/>
                <w:szCs w:val="20"/>
              </w:rPr>
              <w:t xml:space="preserve"> </w:t>
            </w:r>
          </w:p>
          <w:p w14:paraId="71A6612F" w14:textId="5C78A021" w:rsidR="009B0FBE" w:rsidRPr="00865883" w:rsidRDefault="009B0FBE" w:rsidP="009B0FBE">
            <w:pPr>
              <w:tabs>
                <w:tab w:val="left" w:pos="317"/>
                <w:tab w:val="left" w:pos="1418"/>
              </w:tabs>
              <w:spacing w:line="276" w:lineRule="auto"/>
              <w:rPr>
                <w:rFonts w:ascii="Arial" w:hAnsi="Arial" w:cs="Arial"/>
                <w:bCs/>
                <w:color w:val="000000"/>
                <w:sz w:val="20"/>
                <w:szCs w:val="20"/>
              </w:rPr>
            </w:pPr>
            <w:r w:rsidRPr="00865883">
              <w:rPr>
                <w:rFonts w:ascii="Arial" w:hAnsi="Arial" w:cs="Arial"/>
                <w:b/>
                <w:bCs/>
                <w:color w:val="000000"/>
                <w:sz w:val="20"/>
                <w:szCs w:val="20"/>
              </w:rPr>
              <w:t xml:space="preserve">En l’espèce, </w:t>
            </w:r>
            <w:r w:rsidRPr="00865883">
              <w:rPr>
                <w:rFonts w:ascii="Arial" w:hAnsi="Arial" w:cs="Arial"/>
                <w:bCs/>
                <w:color w:val="000000"/>
                <w:sz w:val="20"/>
                <w:szCs w:val="20"/>
              </w:rPr>
              <w:t>la TVA sur la vente de produits à 5,5% est exigible en septembre 2019</w:t>
            </w:r>
            <w:r w:rsidR="00450386">
              <w:rPr>
                <w:rFonts w:ascii="Arial" w:hAnsi="Arial" w:cs="Arial"/>
                <w:bCs/>
                <w:color w:val="000000"/>
                <w:sz w:val="20"/>
                <w:szCs w:val="20"/>
              </w:rPr>
              <w:t xml:space="preserve"> car la facturation a eu lieu au cours de ce mois</w:t>
            </w:r>
            <w:r w:rsidR="00890089">
              <w:rPr>
                <w:rFonts w:ascii="Arial" w:hAnsi="Arial" w:cs="Arial"/>
                <w:bCs/>
                <w:color w:val="000000"/>
                <w:sz w:val="20"/>
                <w:szCs w:val="20"/>
              </w:rPr>
              <w:t xml:space="preserve"> </w:t>
            </w:r>
          </w:p>
          <w:p w14:paraId="5D942208" w14:textId="63E96BDC" w:rsidR="009B0FBE" w:rsidRPr="00865883" w:rsidRDefault="009B0FBE" w:rsidP="009B0FBE">
            <w:pPr>
              <w:tabs>
                <w:tab w:val="left" w:pos="317"/>
                <w:tab w:val="left" w:pos="1418"/>
              </w:tabs>
              <w:spacing w:line="276" w:lineRule="auto"/>
              <w:rPr>
                <w:rFonts w:ascii="Arial" w:hAnsi="Arial" w:cs="Arial"/>
                <w:b/>
                <w:bCs/>
                <w:color w:val="000000"/>
                <w:sz w:val="20"/>
                <w:szCs w:val="20"/>
              </w:rPr>
            </w:pPr>
            <w:r w:rsidRPr="00865883">
              <w:rPr>
                <w:rFonts w:ascii="Arial" w:hAnsi="Arial" w:cs="Arial"/>
                <w:bCs/>
                <w:color w:val="000000"/>
                <w:sz w:val="20"/>
                <w:szCs w:val="20"/>
              </w:rPr>
              <w:t>3 000 000 x 5,5 % = 165 000 €</w:t>
            </w:r>
          </w:p>
        </w:tc>
        <w:tc>
          <w:tcPr>
            <w:tcW w:w="1394" w:type="dxa"/>
            <w:vAlign w:val="center"/>
          </w:tcPr>
          <w:p w14:paraId="16EA6327" w14:textId="77777777" w:rsidR="009B0FBE" w:rsidRPr="00865883" w:rsidRDefault="009B0FBE" w:rsidP="00CD06E5">
            <w:pPr>
              <w:jc w:val="center"/>
              <w:rPr>
                <w:rFonts w:ascii="Arial" w:hAnsi="Arial" w:cs="Arial"/>
                <w:sz w:val="20"/>
                <w:szCs w:val="20"/>
              </w:rPr>
            </w:pPr>
          </w:p>
        </w:tc>
        <w:tc>
          <w:tcPr>
            <w:tcW w:w="1431" w:type="dxa"/>
            <w:vAlign w:val="center"/>
          </w:tcPr>
          <w:p w14:paraId="38EA8544" w14:textId="1FC005F9" w:rsidR="009B0FBE" w:rsidRPr="00865883" w:rsidRDefault="009B0FBE" w:rsidP="00CD06E5">
            <w:pPr>
              <w:jc w:val="center"/>
              <w:rPr>
                <w:rFonts w:ascii="Arial" w:hAnsi="Arial" w:cs="Arial"/>
                <w:sz w:val="20"/>
                <w:szCs w:val="20"/>
              </w:rPr>
            </w:pPr>
            <w:r w:rsidRPr="00865883">
              <w:rPr>
                <w:rFonts w:ascii="Arial" w:hAnsi="Arial" w:cs="Arial"/>
                <w:sz w:val="20"/>
                <w:szCs w:val="20"/>
              </w:rPr>
              <w:t>165 000</w:t>
            </w:r>
          </w:p>
        </w:tc>
      </w:tr>
      <w:tr w:rsidR="00865883" w14:paraId="69748431" w14:textId="77777777" w:rsidTr="00326E25">
        <w:trPr>
          <w:tblHeader/>
        </w:trPr>
        <w:tc>
          <w:tcPr>
            <w:tcW w:w="1545" w:type="dxa"/>
            <w:tcBorders>
              <w:bottom w:val="single" w:sz="4" w:space="0" w:color="auto"/>
            </w:tcBorders>
            <w:vAlign w:val="center"/>
          </w:tcPr>
          <w:p w14:paraId="6E246B98" w14:textId="79F7E97E" w:rsidR="00865883" w:rsidRPr="00865883" w:rsidRDefault="00865883" w:rsidP="004E04F7">
            <w:pPr>
              <w:jc w:val="center"/>
              <w:rPr>
                <w:rFonts w:ascii="Arial" w:hAnsi="Arial" w:cs="Arial"/>
                <w:sz w:val="20"/>
                <w:szCs w:val="20"/>
              </w:rPr>
            </w:pPr>
            <w:r w:rsidRPr="00865883">
              <w:rPr>
                <w:rFonts w:ascii="Arial" w:hAnsi="Arial" w:cs="Arial"/>
                <w:sz w:val="20"/>
                <w:szCs w:val="20"/>
              </w:rPr>
              <w:t xml:space="preserve">Ventes </w:t>
            </w:r>
            <w:r w:rsidR="004E04F7">
              <w:rPr>
                <w:rFonts w:ascii="Arial" w:hAnsi="Arial" w:cs="Arial"/>
                <w:sz w:val="20"/>
                <w:szCs w:val="20"/>
              </w:rPr>
              <w:t xml:space="preserve">en France au taux de </w:t>
            </w:r>
            <w:r w:rsidRPr="00865883">
              <w:rPr>
                <w:rFonts w:ascii="Arial" w:hAnsi="Arial" w:cs="Arial"/>
                <w:sz w:val="20"/>
                <w:szCs w:val="20"/>
              </w:rPr>
              <w:t>10 %</w:t>
            </w:r>
          </w:p>
        </w:tc>
        <w:tc>
          <w:tcPr>
            <w:tcW w:w="1984" w:type="dxa"/>
            <w:tcBorders>
              <w:bottom w:val="single" w:sz="4" w:space="0" w:color="auto"/>
            </w:tcBorders>
            <w:vAlign w:val="center"/>
          </w:tcPr>
          <w:p w14:paraId="0640A7EC" w14:textId="1FAC344B" w:rsidR="00865883" w:rsidRPr="00865883" w:rsidRDefault="00865883" w:rsidP="00865883">
            <w:pPr>
              <w:jc w:val="center"/>
              <w:rPr>
                <w:rFonts w:ascii="Arial" w:hAnsi="Arial" w:cs="Arial"/>
                <w:sz w:val="20"/>
                <w:szCs w:val="20"/>
              </w:rPr>
            </w:pPr>
            <w:r w:rsidRPr="00865883">
              <w:rPr>
                <w:rFonts w:ascii="Arial" w:hAnsi="Arial" w:cs="Arial"/>
                <w:sz w:val="20"/>
                <w:szCs w:val="20"/>
              </w:rPr>
              <w:t xml:space="preserve">Livraison de biens </w:t>
            </w:r>
          </w:p>
        </w:tc>
        <w:tc>
          <w:tcPr>
            <w:tcW w:w="3500" w:type="dxa"/>
            <w:tcBorders>
              <w:bottom w:val="single" w:sz="4" w:space="0" w:color="auto"/>
            </w:tcBorders>
            <w:vAlign w:val="center"/>
          </w:tcPr>
          <w:p w14:paraId="64091C52" w14:textId="2AA3C6B5" w:rsidR="00865883" w:rsidRPr="00865883" w:rsidRDefault="00865883" w:rsidP="00865883">
            <w:pPr>
              <w:tabs>
                <w:tab w:val="left" w:pos="317"/>
                <w:tab w:val="left" w:pos="1418"/>
              </w:tabs>
              <w:spacing w:line="276" w:lineRule="auto"/>
              <w:rPr>
                <w:rFonts w:ascii="Arial" w:hAnsi="Arial" w:cs="Arial"/>
                <w:b/>
                <w:bCs/>
                <w:color w:val="000000"/>
                <w:sz w:val="20"/>
                <w:szCs w:val="20"/>
              </w:rPr>
            </w:pPr>
            <w:r w:rsidRPr="00865883">
              <w:rPr>
                <w:rFonts w:ascii="Arial" w:hAnsi="Arial" w:cs="Arial"/>
                <w:b/>
                <w:bCs/>
                <w:color w:val="000000"/>
                <w:sz w:val="20"/>
                <w:szCs w:val="20"/>
              </w:rPr>
              <w:t xml:space="preserve">En principe, </w:t>
            </w:r>
            <w:r w:rsidRPr="00865883">
              <w:rPr>
                <w:rFonts w:ascii="Arial" w:hAnsi="Arial" w:cs="Arial"/>
                <w:bCs/>
                <w:color w:val="000000"/>
                <w:sz w:val="20"/>
                <w:szCs w:val="20"/>
              </w:rPr>
              <w:t>la TVA sur les ventes de biens en France est exigible dès la livraison.</w:t>
            </w:r>
            <w:r w:rsidRPr="00865883">
              <w:rPr>
                <w:rFonts w:ascii="Arial" w:hAnsi="Arial" w:cs="Arial"/>
                <w:b/>
                <w:bCs/>
                <w:color w:val="000000"/>
                <w:sz w:val="20"/>
                <w:szCs w:val="20"/>
              </w:rPr>
              <w:t xml:space="preserve"> </w:t>
            </w:r>
          </w:p>
          <w:p w14:paraId="4C906AC0" w14:textId="2A501716" w:rsidR="00865883" w:rsidRPr="00865883" w:rsidRDefault="00865883" w:rsidP="00865883">
            <w:pPr>
              <w:tabs>
                <w:tab w:val="left" w:pos="317"/>
                <w:tab w:val="left" w:pos="1418"/>
              </w:tabs>
              <w:spacing w:line="276" w:lineRule="auto"/>
              <w:rPr>
                <w:rFonts w:ascii="Arial" w:hAnsi="Arial" w:cs="Arial"/>
                <w:bCs/>
                <w:color w:val="000000"/>
                <w:sz w:val="20"/>
                <w:szCs w:val="20"/>
              </w:rPr>
            </w:pPr>
            <w:r w:rsidRPr="00865883">
              <w:rPr>
                <w:rFonts w:ascii="Arial" w:hAnsi="Arial" w:cs="Arial"/>
                <w:b/>
                <w:bCs/>
                <w:color w:val="000000"/>
                <w:sz w:val="20"/>
                <w:szCs w:val="20"/>
              </w:rPr>
              <w:t xml:space="preserve">En l’espèce, </w:t>
            </w:r>
            <w:r w:rsidRPr="00865883">
              <w:rPr>
                <w:rFonts w:ascii="Arial" w:hAnsi="Arial" w:cs="Arial"/>
                <w:bCs/>
                <w:color w:val="000000"/>
                <w:sz w:val="20"/>
                <w:szCs w:val="20"/>
              </w:rPr>
              <w:t xml:space="preserve">la TVA sur la vente de produits à 10% est exigible </w:t>
            </w:r>
            <w:r w:rsidR="00450386" w:rsidRPr="00865883">
              <w:rPr>
                <w:rFonts w:ascii="Arial" w:hAnsi="Arial" w:cs="Arial"/>
                <w:bCs/>
                <w:color w:val="000000"/>
                <w:sz w:val="20"/>
                <w:szCs w:val="20"/>
              </w:rPr>
              <w:t>en</w:t>
            </w:r>
            <w:r w:rsidRPr="00865883">
              <w:rPr>
                <w:rFonts w:ascii="Arial" w:hAnsi="Arial" w:cs="Arial"/>
                <w:bCs/>
                <w:color w:val="000000"/>
                <w:sz w:val="20"/>
                <w:szCs w:val="20"/>
              </w:rPr>
              <w:t xml:space="preserve"> septembre 2019</w:t>
            </w:r>
            <w:r w:rsidR="00450386">
              <w:rPr>
                <w:rFonts w:ascii="Arial" w:hAnsi="Arial" w:cs="Arial"/>
                <w:bCs/>
                <w:color w:val="000000"/>
                <w:sz w:val="20"/>
                <w:szCs w:val="20"/>
              </w:rPr>
              <w:t xml:space="preserve"> (1) car la facturation a eu lieu au cours de ce mois</w:t>
            </w:r>
          </w:p>
          <w:p w14:paraId="7976CC64" w14:textId="2EED3E19" w:rsidR="00865883" w:rsidRPr="00865883" w:rsidRDefault="00865883" w:rsidP="00865883">
            <w:pPr>
              <w:rPr>
                <w:rFonts w:ascii="Arial" w:hAnsi="Arial" w:cs="Arial"/>
                <w:sz w:val="20"/>
                <w:szCs w:val="20"/>
              </w:rPr>
            </w:pPr>
            <w:r w:rsidRPr="00865883">
              <w:rPr>
                <w:rFonts w:ascii="Arial" w:hAnsi="Arial" w:cs="Arial"/>
                <w:bCs/>
                <w:color w:val="000000"/>
                <w:sz w:val="20"/>
                <w:szCs w:val="20"/>
              </w:rPr>
              <w:t>1 000 000 x 10 % = 100 000 €</w:t>
            </w:r>
            <w:r w:rsidR="00450386">
              <w:rPr>
                <w:rFonts w:ascii="Arial" w:hAnsi="Arial" w:cs="Arial"/>
                <w:bCs/>
                <w:color w:val="000000"/>
                <w:sz w:val="20"/>
                <w:szCs w:val="20"/>
              </w:rPr>
              <w:t xml:space="preserve"> </w:t>
            </w:r>
          </w:p>
        </w:tc>
        <w:tc>
          <w:tcPr>
            <w:tcW w:w="1394" w:type="dxa"/>
            <w:tcBorders>
              <w:bottom w:val="single" w:sz="4" w:space="0" w:color="auto"/>
            </w:tcBorders>
            <w:vAlign w:val="center"/>
          </w:tcPr>
          <w:p w14:paraId="5D8C195A" w14:textId="77777777" w:rsidR="00865883" w:rsidRPr="00865883" w:rsidRDefault="00865883" w:rsidP="00865883">
            <w:pPr>
              <w:jc w:val="center"/>
              <w:rPr>
                <w:rFonts w:ascii="Arial" w:hAnsi="Arial" w:cs="Arial"/>
                <w:sz w:val="20"/>
                <w:szCs w:val="20"/>
              </w:rPr>
            </w:pPr>
          </w:p>
        </w:tc>
        <w:tc>
          <w:tcPr>
            <w:tcW w:w="1431" w:type="dxa"/>
            <w:tcBorders>
              <w:bottom w:val="single" w:sz="4" w:space="0" w:color="auto"/>
            </w:tcBorders>
            <w:vAlign w:val="center"/>
          </w:tcPr>
          <w:p w14:paraId="62B589CE" w14:textId="0B6DF2E3" w:rsidR="00865883" w:rsidRPr="00865883" w:rsidRDefault="00865883" w:rsidP="00865883">
            <w:pPr>
              <w:jc w:val="center"/>
              <w:rPr>
                <w:rFonts w:ascii="Arial" w:hAnsi="Arial" w:cs="Arial"/>
                <w:sz w:val="20"/>
                <w:szCs w:val="20"/>
              </w:rPr>
            </w:pPr>
            <w:r w:rsidRPr="00865883">
              <w:rPr>
                <w:rFonts w:ascii="Arial" w:hAnsi="Arial" w:cs="Arial"/>
                <w:sz w:val="20"/>
                <w:szCs w:val="20"/>
              </w:rPr>
              <w:t>100 000</w:t>
            </w:r>
          </w:p>
        </w:tc>
      </w:tr>
      <w:tr w:rsidR="00865883" w14:paraId="193E2B95" w14:textId="77777777" w:rsidTr="00326E25">
        <w:trPr>
          <w:tblHeader/>
        </w:trPr>
        <w:tc>
          <w:tcPr>
            <w:tcW w:w="1545" w:type="dxa"/>
            <w:tcBorders>
              <w:bottom w:val="single" w:sz="4" w:space="0" w:color="auto"/>
            </w:tcBorders>
            <w:vAlign w:val="center"/>
          </w:tcPr>
          <w:p w14:paraId="36003C45" w14:textId="1DB5A409" w:rsidR="00865883" w:rsidRPr="00865883" w:rsidRDefault="00865883" w:rsidP="00865883">
            <w:pPr>
              <w:jc w:val="center"/>
              <w:rPr>
                <w:rFonts w:ascii="Arial" w:hAnsi="Arial" w:cs="Arial"/>
                <w:sz w:val="20"/>
                <w:szCs w:val="20"/>
              </w:rPr>
            </w:pPr>
            <w:r w:rsidRPr="00865883">
              <w:rPr>
                <w:rFonts w:ascii="Arial" w:hAnsi="Arial" w:cs="Arial"/>
                <w:sz w:val="20"/>
                <w:szCs w:val="20"/>
              </w:rPr>
              <w:t>Encaissement de prestations logistique</w:t>
            </w:r>
            <w:r w:rsidR="00D62682">
              <w:rPr>
                <w:rFonts w:ascii="Arial" w:hAnsi="Arial" w:cs="Arial"/>
                <w:sz w:val="20"/>
                <w:szCs w:val="20"/>
              </w:rPr>
              <w:t>s</w:t>
            </w:r>
            <w:r w:rsidR="004E04F7">
              <w:rPr>
                <w:rFonts w:ascii="Arial" w:hAnsi="Arial" w:cs="Arial"/>
                <w:sz w:val="20"/>
                <w:szCs w:val="20"/>
              </w:rPr>
              <w:t xml:space="preserve"> réalisées en France</w:t>
            </w:r>
          </w:p>
        </w:tc>
        <w:tc>
          <w:tcPr>
            <w:tcW w:w="1984" w:type="dxa"/>
            <w:tcBorders>
              <w:bottom w:val="single" w:sz="4" w:space="0" w:color="auto"/>
            </w:tcBorders>
            <w:vAlign w:val="center"/>
          </w:tcPr>
          <w:p w14:paraId="4214EF32" w14:textId="502D10FF" w:rsidR="00BC1DFA" w:rsidRPr="00BC1DFA" w:rsidRDefault="00865883" w:rsidP="00326E25">
            <w:pPr>
              <w:jc w:val="center"/>
              <w:rPr>
                <w:rFonts w:ascii="Arial" w:hAnsi="Arial" w:cs="Arial"/>
                <w:color w:val="FF0000"/>
                <w:sz w:val="20"/>
                <w:szCs w:val="20"/>
              </w:rPr>
            </w:pPr>
            <w:r w:rsidRPr="00865883">
              <w:rPr>
                <w:rFonts w:ascii="Arial" w:hAnsi="Arial" w:cs="Arial"/>
                <w:sz w:val="20"/>
                <w:szCs w:val="20"/>
              </w:rPr>
              <w:t>Prestation de services</w:t>
            </w:r>
          </w:p>
        </w:tc>
        <w:tc>
          <w:tcPr>
            <w:tcW w:w="3500" w:type="dxa"/>
            <w:tcBorders>
              <w:bottom w:val="single" w:sz="4" w:space="0" w:color="auto"/>
            </w:tcBorders>
          </w:tcPr>
          <w:p w14:paraId="46090C84" w14:textId="7CD7B31C" w:rsidR="00865883" w:rsidRPr="00865883" w:rsidRDefault="00865883" w:rsidP="00865883">
            <w:pPr>
              <w:tabs>
                <w:tab w:val="left" w:pos="317"/>
                <w:tab w:val="left" w:pos="1418"/>
              </w:tabs>
              <w:spacing w:line="276" w:lineRule="auto"/>
              <w:rPr>
                <w:rFonts w:ascii="Arial" w:hAnsi="Arial" w:cs="Arial"/>
                <w:b/>
                <w:bCs/>
                <w:color w:val="000000"/>
                <w:sz w:val="20"/>
                <w:szCs w:val="20"/>
              </w:rPr>
            </w:pPr>
            <w:r w:rsidRPr="00865883">
              <w:rPr>
                <w:rFonts w:ascii="Arial" w:hAnsi="Arial" w:cs="Arial"/>
                <w:b/>
                <w:bCs/>
                <w:color w:val="000000"/>
                <w:sz w:val="20"/>
                <w:szCs w:val="20"/>
              </w:rPr>
              <w:t>En principe,</w:t>
            </w:r>
            <w:r w:rsidRPr="00865883">
              <w:rPr>
                <w:rFonts w:ascii="Arial" w:hAnsi="Arial" w:cs="Arial"/>
                <w:bCs/>
                <w:color w:val="000000"/>
                <w:sz w:val="20"/>
                <w:szCs w:val="20"/>
              </w:rPr>
              <w:t xml:space="preserve"> pour les prestations de services, l’exigibilité de la TVA intervient au moment de l’encaissement du prix. </w:t>
            </w:r>
          </w:p>
          <w:p w14:paraId="6431F267" w14:textId="77777777" w:rsidR="00865883" w:rsidRPr="00865883" w:rsidRDefault="00865883" w:rsidP="00865883">
            <w:pPr>
              <w:tabs>
                <w:tab w:val="left" w:pos="317"/>
                <w:tab w:val="left" w:pos="1418"/>
              </w:tabs>
              <w:spacing w:line="276" w:lineRule="auto"/>
              <w:rPr>
                <w:rFonts w:ascii="Arial" w:hAnsi="Arial" w:cs="Arial"/>
                <w:b/>
                <w:bCs/>
                <w:color w:val="000000"/>
                <w:sz w:val="20"/>
                <w:szCs w:val="20"/>
              </w:rPr>
            </w:pPr>
            <w:r w:rsidRPr="00865883">
              <w:rPr>
                <w:rFonts w:ascii="Arial" w:hAnsi="Arial" w:cs="Arial"/>
                <w:b/>
                <w:bCs/>
                <w:i/>
                <w:color w:val="000000"/>
                <w:sz w:val="20"/>
                <w:szCs w:val="20"/>
              </w:rPr>
              <w:t>Cependant</w:t>
            </w:r>
            <w:r w:rsidRPr="00865883">
              <w:rPr>
                <w:rFonts w:ascii="Arial" w:hAnsi="Arial" w:cs="Arial"/>
                <w:bCs/>
                <w:color w:val="000000"/>
                <w:sz w:val="20"/>
                <w:szCs w:val="20"/>
              </w:rPr>
              <w:t xml:space="preserve">, en cas d’option pour les débits, l’exigibilité intervient dès la facturation. </w:t>
            </w:r>
          </w:p>
          <w:p w14:paraId="1434CC2A" w14:textId="50CE7943" w:rsidR="00865883" w:rsidRDefault="00865883" w:rsidP="00865883">
            <w:pPr>
              <w:rPr>
                <w:rFonts w:ascii="Arial" w:hAnsi="Arial" w:cs="Arial"/>
                <w:bCs/>
                <w:color w:val="000000"/>
                <w:sz w:val="20"/>
                <w:szCs w:val="20"/>
              </w:rPr>
            </w:pPr>
            <w:r w:rsidRPr="00865883">
              <w:rPr>
                <w:rFonts w:ascii="Arial" w:hAnsi="Arial" w:cs="Arial"/>
                <w:b/>
                <w:bCs/>
                <w:color w:val="000000"/>
                <w:sz w:val="20"/>
                <w:szCs w:val="20"/>
              </w:rPr>
              <w:t>En l’espèce,</w:t>
            </w:r>
            <w:r w:rsidRPr="00865883">
              <w:rPr>
                <w:rFonts w:ascii="Arial" w:hAnsi="Arial" w:cs="Arial"/>
                <w:bCs/>
                <w:color w:val="000000"/>
                <w:sz w:val="20"/>
                <w:szCs w:val="20"/>
              </w:rPr>
              <w:t xml:space="preserve"> </w:t>
            </w:r>
            <w:r w:rsidR="00EA302A">
              <w:rPr>
                <w:rFonts w:ascii="Arial" w:hAnsi="Arial" w:cs="Arial"/>
                <w:bCs/>
                <w:color w:val="000000"/>
                <w:sz w:val="20"/>
                <w:szCs w:val="20"/>
              </w:rPr>
              <w:t>dans la mesure où</w:t>
            </w:r>
            <w:r w:rsidRPr="00865883">
              <w:rPr>
                <w:rFonts w:ascii="Arial" w:hAnsi="Arial" w:cs="Arial"/>
                <w:bCs/>
                <w:color w:val="000000"/>
                <w:sz w:val="20"/>
                <w:szCs w:val="20"/>
              </w:rPr>
              <w:t xml:space="preserve"> la SA Lauster n’a pas opté pour les débits, la TVA relative à cette prestation de services est exigible à l’encaissement</w:t>
            </w:r>
          </w:p>
          <w:p w14:paraId="1C0EE1B9" w14:textId="4A9D94FA" w:rsidR="00D62682" w:rsidRDefault="00D62682" w:rsidP="00865883">
            <w:pPr>
              <w:rPr>
                <w:rFonts w:ascii="Arial" w:hAnsi="Arial" w:cs="Arial"/>
                <w:bCs/>
                <w:color w:val="000000"/>
                <w:sz w:val="20"/>
                <w:szCs w:val="20"/>
              </w:rPr>
            </w:pPr>
            <w:r>
              <w:rPr>
                <w:rFonts w:ascii="Arial" w:hAnsi="Arial" w:cs="Arial"/>
                <w:bCs/>
                <w:color w:val="000000"/>
                <w:sz w:val="20"/>
                <w:szCs w:val="20"/>
              </w:rPr>
              <w:t>240 000 x 0.2 = 48 000 €</w:t>
            </w:r>
          </w:p>
          <w:p w14:paraId="3829199F" w14:textId="38858245" w:rsidR="00865883" w:rsidRPr="00B40842" w:rsidRDefault="00D62682" w:rsidP="00326E25">
            <w:pPr>
              <w:rPr>
                <w:rFonts w:ascii="Arial" w:hAnsi="Arial" w:cs="Arial"/>
                <w:i/>
                <w:iCs/>
                <w:sz w:val="20"/>
                <w:szCs w:val="20"/>
              </w:rPr>
            </w:pPr>
            <w:r w:rsidRPr="00B40842">
              <w:rPr>
                <w:rFonts w:ascii="Arial" w:hAnsi="Arial" w:cs="Arial"/>
                <w:bCs/>
                <w:i/>
                <w:iCs/>
                <w:sz w:val="20"/>
                <w:szCs w:val="20"/>
              </w:rPr>
              <w:t xml:space="preserve">NB : le candidat qui considère le montant des règlements comme étant par nature TTC obtient une TVA exigible de </w:t>
            </w:r>
            <w:r w:rsidR="00865883" w:rsidRPr="00B40842">
              <w:rPr>
                <w:rFonts w:ascii="Arial" w:hAnsi="Arial" w:cs="Arial"/>
                <w:bCs/>
                <w:i/>
                <w:iCs/>
                <w:sz w:val="20"/>
                <w:szCs w:val="20"/>
              </w:rPr>
              <w:t>240 000 / 1,2 x 0,2 = 40 000 €</w:t>
            </w:r>
            <w:r w:rsidRPr="00B40842">
              <w:rPr>
                <w:rFonts w:ascii="Arial" w:hAnsi="Arial" w:cs="Arial"/>
                <w:bCs/>
                <w:i/>
                <w:iCs/>
                <w:sz w:val="20"/>
                <w:szCs w:val="20"/>
              </w:rPr>
              <w:t>.</w:t>
            </w:r>
          </w:p>
        </w:tc>
        <w:tc>
          <w:tcPr>
            <w:tcW w:w="1394" w:type="dxa"/>
            <w:tcBorders>
              <w:bottom w:val="single" w:sz="4" w:space="0" w:color="auto"/>
            </w:tcBorders>
            <w:vAlign w:val="center"/>
          </w:tcPr>
          <w:p w14:paraId="1BC8B50B" w14:textId="77777777" w:rsidR="00865883" w:rsidRPr="00865883" w:rsidRDefault="00865883" w:rsidP="00865883">
            <w:pPr>
              <w:jc w:val="center"/>
              <w:rPr>
                <w:rFonts w:ascii="Arial" w:hAnsi="Arial" w:cs="Arial"/>
                <w:sz w:val="20"/>
                <w:szCs w:val="20"/>
              </w:rPr>
            </w:pPr>
          </w:p>
        </w:tc>
        <w:tc>
          <w:tcPr>
            <w:tcW w:w="1431" w:type="dxa"/>
            <w:tcBorders>
              <w:bottom w:val="single" w:sz="4" w:space="0" w:color="auto"/>
            </w:tcBorders>
            <w:vAlign w:val="center"/>
          </w:tcPr>
          <w:p w14:paraId="7DD61706" w14:textId="352F4346" w:rsidR="00865883" w:rsidRPr="00865883" w:rsidRDefault="00865883" w:rsidP="00865883">
            <w:pPr>
              <w:jc w:val="center"/>
              <w:rPr>
                <w:rFonts w:ascii="Arial" w:hAnsi="Arial" w:cs="Arial"/>
                <w:sz w:val="20"/>
                <w:szCs w:val="20"/>
              </w:rPr>
            </w:pPr>
            <w:r>
              <w:rPr>
                <w:rFonts w:ascii="Arial" w:hAnsi="Arial" w:cs="Arial"/>
                <w:sz w:val="20"/>
                <w:szCs w:val="20"/>
              </w:rPr>
              <w:t>4</w:t>
            </w:r>
            <w:r w:rsidR="00D62682">
              <w:rPr>
                <w:rFonts w:ascii="Arial" w:hAnsi="Arial" w:cs="Arial"/>
                <w:sz w:val="20"/>
                <w:szCs w:val="20"/>
              </w:rPr>
              <w:t>8</w:t>
            </w:r>
            <w:r>
              <w:rPr>
                <w:rFonts w:ascii="Arial" w:hAnsi="Arial" w:cs="Arial"/>
                <w:sz w:val="20"/>
                <w:szCs w:val="20"/>
              </w:rPr>
              <w:t xml:space="preserve"> 000</w:t>
            </w:r>
          </w:p>
        </w:tc>
      </w:tr>
      <w:tr w:rsidR="00865883" w14:paraId="23FCBAEC" w14:textId="77777777" w:rsidTr="00326E25">
        <w:trPr>
          <w:tblHeader/>
        </w:trPr>
        <w:tc>
          <w:tcPr>
            <w:tcW w:w="1545" w:type="dxa"/>
            <w:vAlign w:val="center"/>
          </w:tcPr>
          <w:p w14:paraId="011AA3E9" w14:textId="1DAED436" w:rsidR="00865883" w:rsidRPr="00865883" w:rsidRDefault="004E04F7" w:rsidP="00865883">
            <w:pPr>
              <w:jc w:val="center"/>
              <w:rPr>
                <w:rFonts w:ascii="Arial" w:hAnsi="Arial" w:cs="Arial"/>
                <w:sz w:val="20"/>
                <w:szCs w:val="20"/>
              </w:rPr>
            </w:pPr>
            <w:r>
              <w:rPr>
                <w:rFonts w:ascii="Arial" w:hAnsi="Arial" w:cs="Arial"/>
                <w:sz w:val="20"/>
                <w:szCs w:val="20"/>
              </w:rPr>
              <w:t>Achats de matières premières</w:t>
            </w:r>
            <w:r w:rsidR="002C138F">
              <w:rPr>
                <w:rFonts w:ascii="Arial" w:hAnsi="Arial" w:cs="Arial"/>
                <w:sz w:val="20"/>
                <w:szCs w:val="20"/>
              </w:rPr>
              <w:t xml:space="preserve"> en France</w:t>
            </w:r>
          </w:p>
        </w:tc>
        <w:tc>
          <w:tcPr>
            <w:tcW w:w="1984" w:type="dxa"/>
            <w:vAlign w:val="center"/>
          </w:tcPr>
          <w:p w14:paraId="760EDEA2" w14:textId="6C502D58" w:rsidR="00865883" w:rsidRPr="00865883" w:rsidRDefault="002C138F" w:rsidP="00865883">
            <w:pPr>
              <w:jc w:val="center"/>
              <w:rPr>
                <w:rFonts w:ascii="Arial" w:hAnsi="Arial" w:cs="Arial"/>
                <w:sz w:val="20"/>
                <w:szCs w:val="20"/>
              </w:rPr>
            </w:pPr>
            <w:r>
              <w:rPr>
                <w:rFonts w:ascii="Arial" w:hAnsi="Arial" w:cs="Arial"/>
                <w:sz w:val="20"/>
                <w:szCs w:val="20"/>
              </w:rPr>
              <w:t>Livraison de bien</w:t>
            </w:r>
          </w:p>
        </w:tc>
        <w:tc>
          <w:tcPr>
            <w:tcW w:w="3500" w:type="dxa"/>
            <w:vAlign w:val="center"/>
          </w:tcPr>
          <w:p w14:paraId="6B2AC853" w14:textId="4ECB59C0" w:rsidR="002C138F" w:rsidRPr="00865883" w:rsidRDefault="002C138F" w:rsidP="002C138F">
            <w:pPr>
              <w:tabs>
                <w:tab w:val="left" w:pos="317"/>
                <w:tab w:val="left" w:pos="1418"/>
              </w:tabs>
              <w:spacing w:line="276" w:lineRule="auto"/>
              <w:rPr>
                <w:rFonts w:ascii="Arial" w:hAnsi="Arial" w:cs="Arial"/>
                <w:b/>
                <w:bCs/>
                <w:color w:val="000000"/>
                <w:sz w:val="20"/>
                <w:szCs w:val="20"/>
              </w:rPr>
            </w:pPr>
            <w:r w:rsidRPr="00865883">
              <w:rPr>
                <w:rFonts w:ascii="Arial" w:hAnsi="Arial" w:cs="Arial"/>
                <w:b/>
                <w:bCs/>
                <w:color w:val="000000"/>
                <w:sz w:val="20"/>
                <w:szCs w:val="20"/>
              </w:rPr>
              <w:t xml:space="preserve">En principe, </w:t>
            </w:r>
            <w:r w:rsidRPr="00865883">
              <w:rPr>
                <w:rFonts w:ascii="Arial" w:hAnsi="Arial" w:cs="Arial"/>
                <w:bCs/>
                <w:color w:val="000000"/>
                <w:sz w:val="20"/>
                <w:szCs w:val="20"/>
              </w:rPr>
              <w:t xml:space="preserve">la TVA sur les </w:t>
            </w:r>
            <w:r>
              <w:rPr>
                <w:rFonts w:ascii="Arial" w:hAnsi="Arial" w:cs="Arial"/>
                <w:bCs/>
                <w:color w:val="000000"/>
                <w:sz w:val="20"/>
                <w:szCs w:val="20"/>
              </w:rPr>
              <w:t>achats</w:t>
            </w:r>
            <w:r w:rsidRPr="00865883">
              <w:rPr>
                <w:rFonts w:ascii="Arial" w:hAnsi="Arial" w:cs="Arial"/>
                <w:bCs/>
                <w:color w:val="000000"/>
                <w:sz w:val="20"/>
                <w:szCs w:val="20"/>
              </w:rPr>
              <w:t xml:space="preserve"> de biens en France est </w:t>
            </w:r>
            <w:r>
              <w:rPr>
                <w:rFonts w:ascii="Arial" w:hAnsi="Arial" w:cs="Arial"/>
                <w:bCs/>
                <w:color w:val="000000"/>
                <w:sz w:val="20"/>
                <w:szCs w:val="20"/>
              </w:rPr>
              <w:t>déductible</w:t>
            </w:r>
            <w:r w:rsidRPr="00865883">
              <w:rPr>
                <w:rFonts w:ascii="Arial" w:hAnsi="Arial" w:cs="Arial"/>
                <w:bCs/>
                <w:color w:val="000000"/>
                <w:sz w:val="20"/>
                <w:szCs w:val="20"/>
              </w:rPr>
              <w:t xml:space="preserve"> dès la livraison.</w:t>
            </w:r>
            <w:r w:rsidRPr="00865883">
              <w:rPr>
                <w:rFonts w:ascii="Arial" w:hAnsi="Arial" w:cs="Arial"/>
                <w:b/>
                <w:bCs/>
                <w:color w:val="000000"/>
                <w:sz w:val="20"/>
                <w:szCs w:val="20"/>
              </w:rPr>
              <w:t xml:space="preserve"> </w:t>
            </w:r>
          </w:p>
          <w:p w14:paraId="63540FE3" w14:textId="6B8A649B" w:rsidR="002C138F" w:rsidRPr="00865883" w:rsidRDefault="002C138F" w:rsidP="002C138F">
            <w:pPr>
              <w:tabs>
                <w:tab w:val="left" w:pos="317"/>
                <w:tab w:val="left" w:pos="1418"/>
              </w:tabs>
              <w:spacing w:line="276" w:lineRule="auto"/>
              <w:rPr>
                <w:rFonts w:ascii="Arial" w:hAnsi="Arial" w:cs="Arial"/>
                <w:bCs/>
                <w:color w:val="000000"/>
                <w:sz w:val="20"/>
                <w:szCs w:val="20"/>
              </w:rPr>
            </w:pPr>
            <w:r w:rsidRPr="00865883">
              <w:rPr>
                <w:rFonts w:ascii="Arial" w:hAnsi="Arial" w:cs="Arial"/>
                <w:b/>
                <w:bCs/>
                <w:color w:val="000000"/>
                <w:sz w:val="20"/>
                <w:szCs w:val="20"/>
              </w:rPr>
              <w:t xml:space="preserve">En l’espèce, </w:t>
            </w:r>
            <w:r w:rsidRPr="00865883">
              <w:rPr>
                <w:rFonts w:ascii="Arial" w:hAnsi="Arial" w:cs="Arial"/>
                <w:bCs/>
                <w:color w:val="000000"/>
                <w:sz w:val="20"/>
                <w:szCs w:val="20"/>
              </w:rPr>
              <w:t xml:space="preserve">la TVA </w:t>
            </w:r>
            <w:r w:rsidR="00E844E9">
              <w:rPr>
                <w:rFonts w:ascii="Arial" w:hAnsi="Arial" w:cs="Arial"/>
                <w:bCs/>
                <w:color w:val="000000"/>
                <w:sz w:val="20"/>
                <w:szCs w:val="20"/>
              </w:rPr>
              <w:t xml:space="preserve">relative à </w:t>
            </w:r>
            <w:r>
              <w:rPr>
                <w:rFonts w:ascii="Arial" w:hAnsi="Arial" w:cs="Arial"/>
                <w:bCs/>
                <w:color w:val="000000"/>
                <w:sz w:val="20"/>
                <w:szCs w:val="20"/>
              </w:rPr>
              <w:t>l’achat de</w:t>
            </w:r>
            <w:r w:rsidRPr="00865883">
              <w:rPr>
                <w:rFonts w:ascii="Arial" w:hAnsi="Arial" w:cs="Arial"/>
                <w:bCs/>
                <w:color w:val="000000"/>
                <w:sz w:val="20"/>
                <w:szCs w:val="20"/>
              </w:rPr>
              <w:t xml:space="preserve"> produits à </w:t>
            </w:r>
            <w:r>
              <w:rPr>
                <w:rFonts w:ascii="Arial" w:hAnsi="Arial" w:cs="Arial"/>
                <w:bCs/>
                <w:color w:val="000000"/>
                <w:sz w:val="20"/>
                <w:szCs w:val="20"/>
              </w:rPr>
              <w:t>5,5</w:t>
            </w:r>
            <w:r w:rsidRPr="00865883">
              <w:rPr>
                <w:rFonts w:ascii="Arial" w:hAnsi="Arial" w:cs="Arial"/>
                <w:bCs/>
                <w:color w:val="000000"/>
                <w:sz w:val="20"/>
                <w:szCs w:val="20"/>
              </w:rPr>
              <w:t xml:space="preserve">% est </w:t>
            </w:r>
            <w:r>
              <w:rPr>
                <w:rFonts w:ascii="Arial" w:hAnsi="Arial" w:cs="Arial"/>
                <w:bCs/>
                <w:color w:val="000000"/>
                <w:sz w:val="20"/>
                <w:szCs w:val="20"/>
              </w:rPr>
              <w:t xml:space="preserve">déductible </w:t>
            </w:r>
            <w:r w:rsidRPr="00865883">
              <w:rPr>
                <w:rFonts w:ascii="Arial" w:hAnsi="Arial" w:cs="Arial"/>
                <w:bCs/>
                <w:color w:val="000000"/>
                <w:sz w:val="20"/>
                <w:szCs w:val="20"/>
              </w:rPr>
              <w:t>en septembre 2019</w:t>
            </w:r>
            <w:r w:rsidR="00D7553C">
              <w:rPr>
                <w:rFonts w:ascii="Arial" w:hAnsi="Arial" w:cs="Arial"/>
                <w:bCs/>
                <w:color w:val="000000"/>
                <w:sz w:val="20"/>
                <w:szCs w:val="20"/>
              </w:rPr>
              <w:t xml:space="preserve"> </w:t>
            </w:r>
            <w:r w:rsidR="00D7553C" w:rsidRPr="00D7553C">
              <w:rPr>
                <w:rFonts w:ascii="Arial" w:hAnsi="Arial" w:cs="Arial"/>
                <w:bCs/>
                <w:color w:val="000000"/>
                <w:sz w:val="20"/>
                <w:szCs w:val="20"/>
              </w:rPr>
              <w:t>car la facturation a eu lieu au cours de ce mois</w:t>
            </w:r>
          </w:p>
          <w:p w14:paraId="337FE783" w14:textId="5386B600" w:rsidR="00865883" w:rsidRPr="00865883" w:rsidRDefault="002C138F" w:rsidP="002C138F">
            <w:pPr>
              <w:rPr>
                <w:rFonts w:ascii="Arial" w:hAnsi="Arial" w:cs="Arial"/>
                <w:sz w:val="20"/>
                <w:szCs w:val="20"/>
              </w:rPr>
            </w:pPr>
            <w:r w:rsidRPr="00865883">
              <w:rPr>
                <w:rFonts w:ascii="Arial" w:hAnsi="Arial" w:cs="Arial"/>
                <w:bCs/>
                <w:color w:val="000000"/>
                <w:sz w:val="20"/>
                <w:szCs w:val="20"/>
              </w:rPr>
              <w:t xml:space="preserve">1 000 000 x </w:t>
            </w:r>
            <w:r>
              <w:rPr>
                <w:rFonts w:ascii="Arial" w:hAnsi="Arial" w:cs="Arial"/>
                <w:bCs/>
                <w:color w:val="000000"/>
                <w:sz w:val="20"/>
                <w:szCs w:val="20"/>
              </w:rPr>
              <w:t>5,5</w:t>
            </w:r>
            <w:r w:rsidRPr="00865883">
              <w:rPr>
                <w:rFonts w:ascii="Arial" w:hAnsi="Arial" w:cs="Arial"/>
                <w:bCs/>
                <w:color w:val="000000"/>
                <w:sz w:val="20"/>
                <w:szCs w:val="20"/>
              </w:rPr>
              <w:t xml:space="preserve"> % = </w:t>
            </w:r>
            <w:r>
              <w:rPr>
                <w:rFonts w:ascii="Arial" w:hAnsi="Arial" w:cs="Arial"/>
                <w:bCs/>
                <w:color w:val="000000"/>
                <w:sz w:val="20"/>
                <w:szCs w:val="20"/>
              </w:rPr>
              <w:t>55</w:t>
            </w:r>
            <w:r w:rsidRPr="00865883">
              <w:rPr>
                <w:rFonts w:ascii="Arial" w:hAnsi="Arial" w:cs="Arial"/>
                <w:bCs/>
                <w:color w:val="000000"/>
                <w:sz w:val="20"/>
                <w:szCs w:val="20"/>
              </w:rPr>
              <w:t xml:space="preserve"> 000 €</w:t>
            </w:r>
          </w:p>
        </w:tc>
        <w:tc>
          <w:tcPr>
            <w:tcW w:w="1394" w:type="dxa"/>
            <w:vAlign w:val="center"/>
          </w:tcPr>
          <w:p w14:paraId="4CE158F1" w14:textId="32C40D19" w:rsidR="002C138F" w:rsidRPr="00865883" w:rsidRDefault="002C138F" w:rsidP="00E440B1">
            <w:pPr>
              <w:jc w:val="center"/>
              <w:rPr>
                <w:rFonts w:ascii="Arial" w:hAnsi="Arial" w:cs="Arial"/>
                <w:sz w:val="20"/>
                <w:szCs w:val="20"/>
              </w:rPr>
            </w:pPr>
            <w:r>
              <w:rPr>
                <w:rFonts w:ascii="Arial" w:hAnsi="Arial" w:cs="Arial"/>
                <w:sz w:val="20"/>
                <w:szCs w:val="20"/>
              </w:rPr>
              <w:t>55 000</w:t>
            </w:r>
          </w:p>
        </w:tc>
        <w:tc>
          <w:tcPr>
            <w:tcW w:w="1431" w:type="dxa"/>
            <w:vAlign w:val="center"/>
          </w:tcPr>
          <w:p w14:paraId="7C1DF2E8" w14:textId="77777777" w:rsidR="00865883" w:rsidRPr="00865883" w:rsidRDefault="00865883" w:rsidP="00865883">
            <w:pPr>
              <w:jc w:val="center"/>
              <w:rPr>
                <w:rFonts w:ascii="Arial" w:hAnsi="Arial" w:cs="Arial"/>
                <w:sz w:val="20"/>
                <w:szCs w:val="20"/>
              </w:rPr>
            </w:pPr>
          </w:p>
        </w:tc>
      </w:tr>
      <w:tr w:rsidR="00326E25" w14:paraId="2F32705F" w14:textId="77777777" w:rsidTr="009F4587">
        <w:trPr>
          <w:tblHeader/>
        </w:trPr>
        <w:tc>
          <w:tcPr>
            <w:tcW w:w="1545" w:type="dxa"/>
            <w:tcBorders>
              <w:bottom w:val="single" w:sz="4" w:space="0" w:color="auto"/>
            </w:tcBorders>
            <w:vAlign w:val="center"/>
          </w:tcPr>
          <w:p w14:paraId="67F6F61A" w14:textId="77777777" w:rsidR="00326E25" w:rsidRPr="00887954" w:rsidRDefault="00326E25" w:rsidP="009F4587">
            <w:pPr>
              <w:jc w:val="center"/>
              <w:rPr>
                <w:rFonts w:ascii="Arial" w:hAnsi="Arial" w:cs="Arial"/>
                <w:b/>
                <w:sz w:val="20"/>
              </w:rPr>
            </w:pPr>
            <w:r w:rsidRPr="00887954">
              <w:rPr>
                <w:rFonts w:ascii="Arial" w:hAnsi="Arial" w:cs="Arial"/>
                <w:b/>
                <w:sz w:val="20"/>
              </w:rPr>
              <w:lastRenderedPageBreak/>
              <w:t>Nature de l’opération</w:t>
            </w:r>
          </w:p>
        </w:tc>
        <w:tc>
          <w:tcPr>
            <w:tcW w:w="1984" w:type="dxa"/>
            <w:tcBorders>
              <w:bottom w:val="single" w:sz="4" w:space="0" w:color="auto"/>
            </w:tcBorders>
            <w:vAlign w:val="center"/>
          </w:tcPr>
          <w:p w14:paraId="084C3E1B" w14:textId="77777777" w:rsidR="00326E25" w:rsidRPr="00887954" w:rsidRDefault="00326E25" w:rsidP="009F4587">
            <w:pPr>
              <w:jc w:val="center"/>
              <w:rPr>
                <w:rFonts w:ascii="Arial" w:hAnsi="Arial" w:cs="Arial"/>
                <w:b/>
                <w:sz w:val="20"/>
              </w:rPr>
            </w:pPr>
            <w:r w:rsidRPr="00887954">
              <w:rPr>
                <w:rFonts w:ascii="Arial" w:hAnsi="Arial" w:cs="Arial"/>
                <w:b/>
                <w:sz w:val="20"/>
              </w:rPr>
              <w:t>Qualification fiscale de l’opération</w:t>
            </w:r>
          </w:p>
        </w:tc>
        <w:tc>
          <w:tcPr>
            <w:tcW w:w="3500" w:type="dxa"/>
            <w:tcBorders>
              <w:bottom w:val="single" w:sz="4" w:space="0" w:color="auto"/>
            </w:tcBorders>
            <w:vAlign w:val="center"/>
          </w:tcPr>
          <w:p w14:paraId="6FF7528B" w14:textId="77777777" w:rsidR="00326E25" w:rsidRPr="00887954" w:rsidRDefault="00326E25" w:rsidP="009F4587">
            <w:pPr>
              <w:jc w:val="center"/>
              <w:rPr>
                <w:rFonts w:ascii="Arial" w:hAnsi="Arial" w:cs="Arial"/>
                <w:b/>
                <w:sz w:val="20"/>
              </w:rPr>
            </w:pPr>
            <w:r w:rsidRPr="00887954">
              <w:rPr>
                <w:rFonts w:ascii="Arial" w:hAnsi="Arial" w:cs="Arial"/>
                <w:b/>
                <w:sz w:val="20"/>
              </w:rPr>
              <w:t>Ana</w:t>
            </w:r>
            <w:r>
              <w:rPr>
                <w:rFonts w:ascii="Arial" w:hAnsi="Arial" w:cs="Arial"/>
                <w:b/>
                <w:sz w:val="20"/>
              </w:rPr>
              <w:t>lyse fiscale (Règle de droit + A</w:t>
            </w:r>
            <w:r w:rsidRPr="00887954">
              <w:rPr>
                <w:rFonts w:ascii="Arial" w:hAnsi="Arial" w:cs="Arial"/>
                <w:b/>
                <w:sz w:val="20"/>
              </w:rPr>
              <w:t>pplication en l’espèce)</w:t>
            </w:r>
          </w:p>
        </w:tc>
        <w:tc>
          <w:tcPr>
            <w:tcW w:w="1394" w:type="dxa"/>
            <w:tcBorders>
              <w:bottom w:val="single" w:sz="4" w:space="0" w:color="auto"/>
            </w:tcBorders>
            <w:vAlign w:val="center"/>
          </w:tcPr>
          <w:p w14:paraId="7E269C4C" w14:textId="77777777" w:rsidR="00326E25" w:rsidRPr="00887954" w:rsidRDefault="00326E25" w:rsidP="009F4587">
            <w:pPr>
              <w:jc w:val="center"/>
              <w:rPr>
                <w:rFonts w:ascii="Arial" w:hAnsi="Arial" w:cs="Arial"/>
                <w:b/>
                <w:sz w:val="20"/>
              </w:rPr>
            </w:pPr>
            <w:r w:rsidRPr="00887954">
              <w:rPr>
                <w:rFonts w:ascii="Arial" w:hAnsi="Arial" w:cs="Arial"/>
                <w:b/>
                <w:sz w:val="20"/>
              </w:rPr>
              <w:t>TVA déductible</w:t>
            </w:r>
          </w:p>
        </w:tc>
        <w:tc>
          <w:tcPr>
            <w:tcW w:w="1431" w:type="dxa"/>
            <w:tcBorders>
              <w:bottom w:val="single" w:sz="4" w:space="0" w:color="auto"/>
            </w:tcBorders>
            <w:vAlign w:val="center"/>
          </w:tcPr>
          <w:p w14:paraId="2A470EEA" w14:textId="77777777" w:rsidR="00326E25" w:rsidRDefault="00326E25" w:rsidP="009F4587">
            <w:pPr>
              <w:jc w:val="center"/>
              <w:rPr>
                <w:rFonts w:ascii="Arial" w:hAnsi="Arial" w:cs="Arial"/>
                <w:b/>
                <w:sz w:val="20"/>
              </w:rPr>
            </w:pPr>
            <w:r w:rsidRPr="00887954">
              <w:rPr>
                <w:rFonts w:ascii="Arial" w:hAnsi="Arial" w:cs="Arial"/>
                <w:b/>
                <w:sz w:val="20"/>
              </w:rPr>
              <w:t xml:space="preserve">TVA </w:t>
            </w:r>
          </w:p>
          <w:p w14:paraId="0313F1DD" w14:textId="77777777" w:rsidR="00326E25" w:rsidRPr="00887954" w:rsidRDefault="00326E25" w:rsidP="009F4587">
            <w:pPr>
              <w:jc w:val="center"/>
              <w:rPr>
                <w:rFonts w:ascii="Arial" w:hAnsi="Arial" w:cs="Arial"/>
                <w:b/>
                <w:sz w:val="20"/>
              </w:rPr>
            </w:pPr>
            <w:r w:rsidRPr="00887954">
              <w:rPr>
                <w:rFonts w:ascii="Arial" w:hAnsi="Arial" w:cs="Arial"/>
                <w:b/>
                <w:sz w:val="20"/>
              </w:rPr>
              <w:t>Exigible</w:t>
            </w:r>
          </w:p>
        </w:tc>
      </w:tr>
      <w:tr w:rsidR="00865883" w14:paraId="0B8BAEE8" w14:textId="77777777" w:rsidTr="00326E25">
        <w:trPr>
          <w:tblHeader/>
        </w:trPr>
        <w:tc>
          <w:tcPr>
            <w:tcW w:w="1545" w:type="dxa"/>
            <w:vAlign w:val="center"/>
          </w:tcPr>
          <w:p w14:paraId="319BC754" w14:textId="7EF1492B" w:rsidR="00865883" w:rsidRPr="00865883" w:rsidRDefault="002C138F" w:rsidP="002C138F">
            <w:pPr>
              <w:jc w:val="center"/>
              <w:rPr>
                <w:rFonts w:ascii="Arial" w:hAnsi="Arial" w:cs="Arial"/>
                <w:sz w:val="20"/>
                <w:szCs w:val="20"/>
              </w:rPr>
            </w:pPr>
            <w:r>
              <w:rPr>
                <w:rFonts w:ascii="Arial" w:hAnsi="Arial" w:cs="Arial"/>
                <w:sz w:val="20"/>
                <w:szCs w:val="20"/>
              </w:rPr>
              <w:t>Achats de matières premières en provenance de l’UE</w:t>
            </w:r>
          </w:p>
        </w:tc>
        <w:tc>
          <w:tcPr>
            <w:tcW w:w="1984" w:type="dxa"/>
            <w:vAlign w:val="center"/>
          </w:tcPr>
          <w:p w14:paraId="403AA1F4" w14:textId="63821E61" w:rsidR="00865883" w:rsidRPr="00865883" w:rsidRDefault="002C138F" w:rsidP="00865883">
            <w:pPr>
              <w:jc w:val="center"/>
              <w:rPr>
                <w:rFonts w:ascii="Arial" w:hAnsi="Arial" w:cs="Arial"/>
                <w:sz w:val="20"/>
                <w:szCs w:val="20"/>
              </w:rPr>
            </w:pPr>
            <w:r>
              <w:rPr>
                <w:rFonts w:ascii="Arial" w:hAnsi="Arial" w:cs="Arial"/>
                <w:sz w:val="20"/>
                <w:szCs w:val="20"/>
              </w:rPr>
              <w:t>AIC</w:t>
            </w:r>
            <w:r w:rsidR="00F86B54">
              <w:rPr>
                <w:rFonts w:ascii="Arial" w:hAnsi="Arial" w:cs="Arial"/>
                <w:sz w:val="20"/>
                <w:szCs w:val="20"/>
              </w:rPr>
              <w:t xml:space="preserve"> car </w:t>
            </w:r>
            <w:r w:rsidR="00E844E9">
              <w:rPr>
                <w:rFonts w:ascii="Arial" w:hAnsi="Arial" w:cs="Arial"/>
                <w:sz w:val="20"/>
                <w:szCs w:val="20"/>
              </w:rPr>
              <w:t xml:space="preserve">le </w:t>
            </w:r>
            <w:r w:rsidR="00F86B54">
              <w:rPr>
                <w:rFonts w:ascii="Arial" w:hAnsi="Arial" w:cs="Arial"/>
                <w:sz w:val="20"/>
                <w:szCs w:val="20"/>
              </w:rPr>
              <w:t xml:space="preserve">numéro de TVA intracommunautaire </w:t>
            </w:r>
            <w:r w:rsidR="00E844E9">
              <w:rPr>
                <w:rFonts w:ascii="Arial" w:hAnsi="Arial" w:cs="Arial"/>
                <w:sz w:val="20"/>
                <w:szCs w:val="20"/>
              </w:rPr>
              <w:t xml:space="preserve">est </w:t>
            </w:r>
            <w:r w:rsidR="00F86B54">
              <w:rPr>
                <w:rFonts w:ascii="Arial" w:hAnsi="Arial" w:cs="Arial"/>
                <w:sz w:val="20"/>
                <w:szCs w:val="20"/>
              </w:rPr>
              <w:t>fourni</w:t>
            </w:r>
          </w:p>
        </w:tc>
        <w:tc>
          <w:tcPr>
            <w:tcW w:w="3500" w:type="dxa"/>
            <w:vAlign w:val="center"/>
          </w:tcPr>
          <w:p w14:paraId="0051F2AD" w14:textId="77777777" w:rsidR="002C138F" w:rsidRPr="009921B3" w:rsidRDefault="002C138F" w:rsidP="002C138F">
            <w:pPr>
              <w:tabs>
                <w:tab w:val="left" w:pos="317"/>
                <w:tab w:val="left" w:pos="1418"/>
              </w:tabs>
              <w:spacing w:line="276" w:lineRule="auto"/>
              <w:rPr>
                <w:rFonts w:ascii="Arial" w:hAnsi="Arial" w:cs="Arial"/>
                <w:bCs/>
                <w:color w:val="000000"/>
                <w:sz w:val="20"/>
                <w:szCs w:val="20"/>
              </w:rPr>
            </w:pPr>
            <w:r w:rsidRPr="009921B3">
              <w:rPr>
                <w:rFonts w:ascii="Arial" w:hAnsi="Arial" w:cs="Arial"/>
                <w:b/>
                <w:bCs/>
                <w:color w:val="000000"/>
                <w:sz w:val="20"/>
                <w:szCs w:val="20"/>
              </w:rPr>
              <w:t>En principe,</w:t>
            </w:r>
            <w:r w:rsidRPr="009921B3">
              <w:rPr>
                <w:rFonts w:ascii="Arial" w:hAnsi="Arial" w:cs="Arial"/>
                <w:bCs/>
                <w:color w:val="000000"/>
                <w:sz w:val="20"/>
                <w:szCs w:val="20"/>
              </w:rPr>
              <w:t xml:space="preserve"> pour les acquisitions intracommunautaires, l’acquéreur doit autoliquider la TVA (exigible et déductible le même mois). Cette autoliquidation intervient soit à la date de facturation du bien pour son montant total soit au plus tard le 15 du mois suivant sa livraison.</w:t>
            </w:r>
          </w:p>
          <w:p w14:paraId="5E0393D7" w14:textId="6FB30B82" w:rsidR="00865883" w:rsidRPr="009921B3" w:rsidRDefault="002C138F" w:rsidP="009921B3">
            <w:pPr>
              <w:tabs>
                <w:tab w:val="left" w:pos="317"/>
                <w:tab w:val="left" w:pos="1418"/>
              </w:tabs>
              <w:spacing w:line="276" w:lineRule="auto"/>
              <w:rPr>
                <w:rFonts w:ascii="Arial" w:hAnsi="Arial" w:cs="Arial"/>
                <w:bCs/>
                <w:color w:val="000000"/>
                <w:sz w:val="20"/>
                <w:szCs w:val="20"/>
              </w:rPr>
            </w:pPr>
            <w:r w:rsidRPr="009921B3">
              <w:rPr>
                <w:rFonts w:ascii="Arial" w:hAnsi="Arial" w:cs="Arial"/>
                <w:b/>
                <w:bCs/>
                <w:color w:val="000000"/>
                <w:sz w:val="20"/>
                <w:szCs w:val="20"/>
              </w:rPr>
              <w:t>En l’espèce,</w:t>
            </w:r>
            <w:r w:rsidRPr="009921B3">
              <w:rPr>
                <w:rFonts w:ascii="Arial" w:hAnsi="Arial" w:cs="Arial"/>
                <w:bCs/>
                <w:color w:val="000000"/>
                <w:sz w:val="20"/>
                <w:szCs w:val="20"/>
              </w:rPr>
              <w:t xml:space="preserve"> les matières premières ont été livrés en septembre </w:t>
            </w:r>
            <w:r w:rsidR="00D5214C">
              <w:rPr>
                <w:rFonts w:ascii="Arial" w:hAnsi="Arial" w:cs="Arial"/>
                <w:bCs/>
                <w:color w:val="000000"/>
                <w:sz w:val="20"/>
                <w:szCs w:val="20"/>
              </w:rPr>
              <w:t>2019 accompagnées de la facture. I</w:t>
            </w:r>
            <w:r w:rsidRPr="009921B3">
              <w:rPr>
                <w:rFonts w:ascii="Arial" w:hAnsi="Arial" w:cs="Arial"/>
                <w:bCs/>
                <w:color w:val="000000"/>
                <w:sz w:val="20"/>
                <w:szCs w:val="20"/>
              </w:rPr>
              <w:t xml:space="preserve">l convient </w:t>
            </w:r>
            <w:r w:rsidR="00D5214C">
              <w:rPr>
                <w:rFonts w:ascii="Arial" w:hAnsi="Arial" w:cs="Arial"/>
                <w:bCs/>
                <w:color w:val="000000"/>
                <w:sz w:val="20"/>
                <w:szCs w:val="20"/>
              </w:rPr>
              <w:t xml:space="preserve">donc </w:t>
            </w:r>
            <w:r w:rsidRPr="009921B3">
              <w:rPr>
                <w:rFonts w:ascii="Arial" w:hAnsi="Arial" w:cs="Arial"/>
                <w:bCs/>
                <w:color w:val="000000"/>
                <w:sz w:val="20"/>
                <w:szCs w:val="20"/>
              </w:rPr>
              <w:t>d’autoliquider (exigible et déductible) la TVA immédiatement</w:t>
            </w:r>
            <w:r w:rsidR="00F86B54" w:rsidRPr="009921B3">
              <w:rPr>
                <w:rFonts w:ascii="Arial" w:hAnsi="Arial" w:cs="Arial"/>
                <w:bCs/>
                <w:color w:val="000000"/>
                <w:sz w:val="20"/>
                <w:szCs w:val="20"/>
              </w:rPr>
              <w:t>.</w:t>
            </w:r>
          </w:p>
          <w:p w14:paraId="2463EF93" w14:textId="21E23327" w:rsidR="00F86B54" w:rsidRPr="002C138F" w:rsidRDefault="00F86B54" w:rsidP="009921B3">
            <w:pPr>
              <w:tabs>
                <w:tab w:val="left" w:pos="317"/>
                <w:tab w:val="left" w:pos="1418"/>
              </w:tabs>
              <w:spacing w:line="276" w:lineRule="auto"/>
              <w:rPr>
                <w:rFonts w:ascii="Arial" w:hAnsi="Arial" w:cs="Arial"/>
                <w:bCs/>
                <w:color w:val="000000"/>
                <w:sz w:val="20"/>
                <w:szCs w:val="20"/>
              </w:rPr>
            </w:pPr>
            <w:r w:rsidRPr="009921B3">
              <w:rPr>
                <w:rFonts w:ascii="Arial" w:hAnsi="Arial" w:cs="Arial"/>
                <w:bCs/>
                <w:color w:val="000000"/>
                <w:sz w:val="20"/>
                <w:szCs w:val="20"/>
              </w:rPr>
              <w:t>100 000 x 5,5% = 5 500 €</w:t>
            </w:r>
          </w:p>
        </w:tc>
        <w:tc>
          <w:tcPr>
            <w:tcW w:w="1394" w:type="dxa"/>
            <w:vAlign w:val="center"/>
          </w:tcPr>
          <w:p w14:paraId="28EA9D64" w14:textId="0948FB39" w:rsidR="00865883" w:rsidRPr="00865883" w:rsidRDefault="00F86B54" w:rsidP="00865883">
            <w:pPr>
              <w:jc w:val="center"/>
              <w:rPr>
                <w:rFonts w:ascii="Arial" w:hAnsi="Arial" w:cs="Arial"/>
                <w:sz w:val="20"/>
                <w:szCs w:val="20"/>
              </w:rPr>
            </w:pPr>
            <w:r>
              <w:rPr>
                <w:rFonts w:ascii="Arial" w:hAnsi="Arial" w:cs="Arial"/>
                <w:sz w:val="20"/>
                <w:szCs w:val="20"/>
              </w:rPr>
              <w:t>5 500</w:t>
            </w:r>
          </w:p>
        </w:tc>
        <w:tc>
          <w:tcPr>
            <w:tcW w:w="1431" w:type="dxa"/>
            <w:vAlign w:val="center"/>
          </w:tcPr>
          <w:p w14:paraId="4BA4C7A4" w14:textId="353DD228" w:rsidR="00865883" w:rsidRPr="00865883" w:rsidRDefault="00F86B54" w:rsidP="00865883">
            <w:pPr>
              <w:jc w:val="center"/>
              <w:rPr>
                <w:rFonts w:ascii="Arial" w:hAnsi="Arial" w:cs="Arial"/>
                <w:sz w:val="20"/>
                <w:szCs w:val="20"/>
              </w:rPr>
            </w:pPr>
            <w:r>
              <w:rPr>
                <w:rFonts w:ascii="Arial" w:hAnsi="Arial" w:cs="Arial"/>
                <w:sz w:val="20"/>
                <w:szCs w:val="20"/>
              </w:rPr>
              <w:t>5 500</w:t>
            </w:r>
          </w:p>
        </w:tc>
      </w:tr>
      <w:tr w:rsidR="00865883" w14:paraId="569AA714" w14:textId="77777777" w:rsidTr="00326E25">
        <w:trPr>
          <w:tblHeader/>
        </w:trPr>
        <w:tc>
          <w:tcPr>
            <w:tcW w:w="1545" w:type="dxa"/>
            <w:tcBorders>
              <w:bottom w:val="single" w:sz="4" w:space="0" w:color="auto"/>
            </w:tcBorders>
            <w:vAlign w:val="center"/>
          </w:tcPr>
          <w:p w14:paraId="08C1A2F9" w14:textId="5085480A" w:rsidR="00865883" w:rsidRPr="00865883" w:rsidRDefault="009921B3" w:rsidP="00865883">
            <w:pPr>
              <w:jc w:val="center"/>
              <w:rPr>
                <w:rFonts w:ascii="Arial" w:hAnsi="Arial" w:cs="Arial"/>
                <w:sz w:val="20"/>
                <w:szCs w:val="20"/>
              </w:rPr>
            </w:pPr>
            <w:r>
              <w:rPr>
                <w:rFonts w:ascii="Arial" w:hAnsi="Arial" w:cs="Arial"/>
                <w:sz w:val="20"/>
                <w:szCs w:val="20"/>
              </w:rPr>
              <w:t>Achats de matières premières en provenance de pays tiers à  l’UE</w:t>
            </w:r>
          </w:p>
        </w:tc>
        <w:tc>
          <w:tcPr>
            <w:tcW w:w="1984" w:type="dxa"/>
            <w:tcBorders>
              <w:bottom w:val="single" w:sz="4" w:space="0" w:color="auto"/>
            </w:tcBorders>
            <w:vAlign w:val="center"/>
          </w:tcPr>
          <w:p w14:paraId="0795CFC6" w14:textId="5937DF30" w:rsidR="00865883" w:rsidRPr="00865883" w:rsidRDefault="009921B3" w:rsidP="00865883">
            <w:pPr>
              <w:jc w:val="center"/>
              <w:rPr>
                <w:rFonts w:ascii="Arial" w:hAnsi="Arial" w:cs="Arial"/>
                <w:sz w:val="20"/>
                <w:szCs w:val="20"/>
              </w:rPr>
            </w:pPr>
            <w:r>
              <w:rPr>
                <w:rFonts w:ascii="Arial" w:hAnsi="Arial" w:cs="Arial"/>
                <w:sz w:val="20"/>
                <w:szCs w:val="20"/>
              </w:rPr>
              <w:t xml:space="preserve">Importation </w:t>
            </w:r>
          </w:p>
        </w:tc>
        <w:tc>
          <w:tcPr>
            <w:tcW w:w="3500" w:type="dxa"/>
            <w:tcBorders>
              <w:bottom w:val="single" w:sz="4" w:space="0" w:color="auto"/>
            </w:tcBorders>
            <w:vAlign w:val="center"/>
          </w:tcPr>
          <w:p w14:paraId="491FBFF4" w14:textId="579CA685" w:rsidR="009921B3" w:rsidRPr="009921B3" w:rsidRDefault="009921B3" w:rsidP="009921B3">
            <w:pPr>
              <w:tabs>
                <w:tab w:val="left" w:pos="317"/>
                <w:tab w:val="left" w:pos="1418"/>
              </w:tabs>
              <w:spacing w:line="276" w:lineRule="auto"/>
              <w:rPr>
                <w:rFonts w:ascii="Arial" w:hAnsi="Arial" w:cs="Arial"/>
                <w:bCs/>
                <w:color w:val="000000"/>
                <w:sz w:val="20"/>
                <w:szCs w:val="20"/>
              </w:rPr>
            </w:pPr>
            <w:r w:rsidRPr="009921B3">
              <w:rPr>
                <w:rFonts w:ascii="Arial" w:hAnsi="Arial" w:cs="Arial"/>
                <w:b/>
                <w:bCs/>
                <w:color w:val="000000"/>
                <w:sz w:val="20"/>
                <w:szCs w:val="20"/>
              </w:rPr>
              <w:t>En principe,</w:t>
            </w:r>
            <w:r w:rsidRPr="009921B3">
              <w:rPr>
                <w:rFonts w:ascii="Arial" w:hAnsi="Arial" w:cs="Arial"/>
                <w:bCs/>
                <w:color w:val="000000"/>
                <w:sz w:val="20"/>
                <w:szCs w:val="20"/>
              </w:rPr>
              <w:t xml:space="preserve"> lors des importations, la TVA est acquittée par le transporteur lors du passage en douane. Cette TVA est déductible immédiatement</w:t>
            </w:r>
            <w:r>
              <w:rPr>
                <w:rFonts w:ascii="Arial" w:hAnsi="Arial" w:cs="Arial"/>
                <w:bCs/>
                <w:color w:val="000000"/>
                <w:sz w:val="20"/>
                <w:szCs w:val="20"/>
              </w:rPr>
              <w:t>.</w:t>
            </w:r>
          </w:p>
          <w:p w14:paraId="72BB93F3" w14:textId="2EEF2DB0" w:rsidR="00865883" w:rsidRDefault="009921B3" w:rsidP="009921B3">
            <w:pPr>
              <w:tabs>
                <w:tab w:val="left" w:pos="317"/>
                <w:tab w:val="left" w:pos="1418"/>
              </w:tabs>
              <w:spacing w:line="276" w:lineRule="auto"/>
              <w:rPr>
                <w:rFonts w:ascii="Arial" w:hAnsi="Arial" w:cs="Arial"/>
                <w:bCs/>
                <w:color w:val="000000"/>
                <w:sz w:val="20"/>
                <w:szCs w:val="20"/>
              </w:rPr>
            </w:pPr>
            <w:r w:rsidRPr="009921B3">
              <w:rPr>
                <w:rFonts w:ascii="Arial" w:hAnsi="Arial" w:cs="Arial"/>
                <w:b/>
                <w:bCs/>
                <w:color w:val="000000"/>
                <w:sz w:val="20"/>
                <w:szCs w:val="20"/>
              </w:rPr>
              <w:t>En l’espèce</w:t>
            </w:r>
            <w:r w:rsidRPr="009921B3">
              <w:rPr>
                <w:rFonts w:ascii="Arial" w:hAnsi="Arial" w:cs="Arial"/>
                <w:bCs/>
                <w:color w:val="000000"/>
                <w:sz w:val="20"/>
                <w:szCs w:val="20"/>
              </w:rPr>
              <w:t xml:space="preserve"> la TVA sur l’importation de</w:t>
            </w:r>
            <w:r>
              <w:rPr>
                <w:rFonts w:ascii="Arial" w:hAnsi="Arial" w:cs="Arial"/>
                <w:bCs/>
                <w:color w:val="000000"/>
                <w:sz w:val="20"/>
                <w:szCs w:val="20"/>
              </w:rPr>
              <w:t xml:space="preserve"> matières premières</w:t>
            </w:r>
            <w:r w:rsidRPr="009921B3">
              <w:rPr>
                <w:rFonts w:ascii="Arial" w:hAnsi="Arial" w:cs="Arial"/>
                <w:bCs/>
                <w:color w:val="000000"/>
                <w:sz w:val="20"/>
                <w:szCs w:val="20"/>
              </w:rPr>
              <w:t xml:space="preserve"> a été acquittée lors du passage en douane</w:t>
            </w:r>
            <w:r w:rsidR="00D7553C">
              <w:rPr>
                <w:rFonts w:ascii="Arial" w:hAnsi="Arial" w:cs="Arial"/>
                <w:bCs/>
                <w:color w:val="000000"/>
                <w:sz w:val="20"/>
                <w:szCs w:val="20"/>
              </w:rPr>
              <w:t xml:space="preserve"> le 4 septembre 2019</w:t>
            </w:r>
            <w:r w:rsidRPr="009921B3">
              <w:rPr>
                <w:rFonts w:ascii="Arial" w:hAnsi="Arial" w:cs="Arial"/>
                <w:bCs/>
                <w:color w:val="000000"/>
                <w:sz w:val="20"/>
                <w:szCs w:val="20"/>
              </w:rPr>
              <w:t>. Ce</w:t>
            </w:r>
            <w:r>
              <w:rPr>
                <w:rFonts w:ascii="Arial" w:hAnsi="Arial" w:cs="Arial"/>
                <w:bCs/>
                <w:color w:val="000000"/>
                <w:sz w:val="20"/>
                <w:szCs w:val="20"/>
              </w:rPr>
              <w:t xml:space="preserve">tte TVA ouvre </w:t>
            </w:r>
            <w:r w:rsidR="00D7553C">
              <w:rPr>
                <w:rFonts w:ascii="Arial" w:hAnsi="Arial" w:cs="Arial"/>
                <w:bCs/>
                <w:color w:val="000000"/>
                <w:sz w:val="20"/>
                <w:szCs w:val="20"/>
              </w:rPr>
              <w:t xml:space="preserve">donc </w:t>
            </w:r>
            <w:r>
              <w:rPr>
                <w:rFonts w:ascii="Arial" w:hAnsi="Arial" w:cs="Arial"/>
                <w:bCs/>
                <w:color w:val="000000"/>
                <w:sz w:val="20"/>
                <w:szCs w:val="20"/>
              </w:rPr>
              <w:t xml:space="preserve">droit à déduction </w:t>
            </w:r>
            <w:r w:rsidR="00D7553C">
              <w:rPr>
                <w:rFonts w:ascii="Arial" w:hAnsi="Arial" w:cs="Arial"/>
                <w:bCs/>
                <w:color w:val="000000"/>
                <w:sz w:val="20"/>
                <w:szCs w:val="20"/>
              </w:rPr>
              <w:t>au cours du mois de septembre</w:t>
            </w:r>
          </w:p>
          <w:p w14:paraId="1950A3F1" w14:textId="642F9902" w:rsidR="009921B3" w:rsidRPr="009921B3" w:rsidRDefault="009921B3" w:rsidP="009921B3">
            <w:pPr>
              <w:tabs>
                <w:tab w:val="left" w:pos="317"/>
                <w:tab w:val="left" w:pos="1418"/>
              </w:tabs>
              <w:spacing w:line="276" w:lineRule="auto"/>
              <w:rPr>
                <w:rFonts w:ascii="Arial" w:hAnsi="Arial" w:cs="Arial"/>
                <w:bCs/>
                <w:color w:val="000000"/>
                <w:sz w:val="20"/>
                <w:szCs w:val="20"/>
              </w:rPr>
            </w:pPr>
            <w:r>
              <w:rPr>
                <w:rFonts w:ascii="Arial" w:hAnsi="Arial" w:cs="Arial"/>
                <w:bCs/>
                <w:color w:val="000000"/>
                <w:sz w:val="20"/>
                <w:szCs w:val="20"/>
              </w:rPr>
              <w:t>200 000 x 5,5% = 11</w:t>
            </w:r>
            <w:r w:rsidR="004E339D">
              <w:rPr>
                <w:rFonts w:ascii="Arial" w:hAnsi="Arial" w:cs="Arial"/>
                <w:bCs/>
                <w:color w:val="000000"/>
                <w:sz w:val="20"/>
                <w:szCs w:val="20"/>
              </w:rPr>
              <w:t> </w:t>
            </w:r>
            <w:r>
              <w:rPr>
                <w:rFonts w:ascii="Arial" w:hAnsi="Arial" w:cs="Arial"/>
                <w:bCs/>
                <w:color w:val="000000"/>
                <w:sz w:val="20"/>
                <w:szCs w:val="20"/>
              </w:rPr>
              <w:t>000</w:t>
            </w:r>
            <w:r w:rsidR="004E339D">
              <w:rPr>
                <w:rFonts w:ascii="Arial" w:hAnsi="Arial" w:cs="Arial"/>
                <w:bCs/>
                <w:color w:val="000000"/>
                <w:sz w:val="20"/>
                <w:szCs w:val="20"/>
              </w:rPr>
              <w:t xml:space="preserve"> €</w:t>
            </w:r>
          </w:p>
        </w:tc>
        <w:tc>
          <w:tcPr>
            <w:tcW w:w="1394" w:type="dxa"/>
            <w:tcBorders>
              <w:bottom w:val="single" w:sz="4" w:space="0" w:color="auto"/>
            </w:tcBorders>
            <w:vAlign w:val="center"/>
          </w:tcPr>
          <w:p w14:paraId="45AE1331" w14:textId="29692D44" w:rsidR="00865883" w:rsidRPr="00865883" w:rsidRDefault="009921B3" w:rsidP="00865883">
            <w:pPr>
              <w:jc w:val="center"/>
              <w:rPr>
                <w:rFonts w:ascii="Arial" w:hAnsi="Arial" w:cs="Arial"/>
                <w:sz w:val="20"/>
                <w:szCs w:val="20"/>
              </w:rPr>
            </w:pPr>
            <w:r>
              <w:rPr>
                <w:rFonts w:ascii="Arial" w:hAnsi="Arial" w:cs="Arial"/>
                <w:sz w:val="20"/>
                <w:szCs w:val="20"/>
              </w:rPr>
              <w:t>11 000</w:t>
            </w:r>
          </w:p>
        </w:tc>
        <w:tc>
          <w:tcPr>
            <w:tcW w:w="1431" w:type="dxa"/>
            <w:tcBorders>
              <w:bottom w:val="single" w:sz="4" w:space="0" w:color="auto"/>
            </w:tcBorders>
            <w:vAlign w:val="center"/>
          </w:tcPr>
          <w:p w14:paraId="422312F2" w14:textId="77777777" w:rsidR="00865883" w:rsidRPr="00865883" w:rsidRDefault="00865883" w:rsidP="00865883">
            <w:pPr>
              <w:jc w:val="center"/>
              <w:rPr>
                <w:rFonts w:ascii="Arial" w:hAnsi="Arial" w:cs="Arial"/>
                <w:sz w:val="20"/>
                <w:szCs w:val="20"/>
              </w:rPr>
            </w:pPr>
          </w:p>
        </w:tc>
      </w:tr>
      <w:tr w:rsidR="00865883" w14:paraId="68C478B3" w14:textId="77777777" w:rsidTr="00326E25">
        <w:trPr>
          <w:trHeight w:val="3460"/>
          <w:tblHeader/>
        </w:trPr>
        <w:tc>
          <w:tcPr>
            <w:tcW w:w="1545" w:type="dxa"/>
            <w:tcBorders>
              <w:bottom w:val="single" w:sz="4" w:space="0" w:color="auto"/>
            </w:tcBorders>
            <w:vAlign w:val="center"/>
          </w:tcPr>
          <w:p w14:paraId="060889F4" w14:textId="4DEE017C" w:rsidR="00865883" w:rsidRPr="00865883" w:rsidRDefault="00B75662" w:rsidP="00865883">
            <w:pPr>
              <w:jc w:val="center"/>
              <w:rPr>
                <w:rFonts w:ascii="Arial" w:hAnsi="Arial" w:cs="Arial"/>
                <w:sz w:val="20"/>
                <w:szCs w:val="20"/>
              </w:rPr>
            </w:pPr>
            <w:r>
              <w:rPr>
                <w:rFonts w:ascii="Arial" w:hAnsi="Arial" w:cs="Arial"/>
                <w:sz w:val="20"/>
                <w:szCs w:val="20"/>
              </w:rPr>
              <w:t>Maintenance des fours</w:t>
            </w:r>
          </w:p>
        </w:tc>
        <w:tc>
          <w:tcPr>
            <w:tcW w:w="1984" w:type="dxa"/>
            <w:tcBorders>
              <w:bottom w:val="single" w:sz="4" w:space="0" w:color="auto"/>
            </w:tcBorders>
            <w:vAlign w:val="center"/>
          </w:tcPr>
          <w:p w14:paraId="10A10765" w14:textId="4C87D3F7" w:rsidR="00865883" w:rsidRPr="00865883" w:rsidRDefault="00B75662" w:rsidP="001223F9">
            <w:pPr>
              <w:jc w:val="center"/>
              <w:rPr>
                <w:rFonts w:ascii="Arial" w:hAnsi="Arial" w:cs="Arial"/>
                <w:sz w:val="20"/>
                <w:szCs w:val="20"/>
              </w:rPr>
            </w:pPr>
            <w:r>
              <w:rPr>
                <w:rFonts w:ascii="Arial" w:hAnsi="Arial" w:cs="Arial"/>
                <w:sz w:val="20"/>
                <w:szCs w:val="20"/>
              </w:rPr>
              <w:t>Prestation de services</w:t>
            </w:r>
          </w:p>
        </w:tc>
        <w:tc>
          <w:tcPr>
            <w:tcW w:w="3500" w:type="dxa"/>
            <w:tcBorders>
              <w:bottom w:val="single" w:sz="4" w:space="0" w:color="auto"/>
            </w:tcBorders>
            <w:vAlign w:val="center"/>
          </w:tcPr>
          <w:p w14:paraId="12CF0FC7" w14:textId="5FC3CE16" w:rsidR="00B75662" w:rsidRPr="00865883" w:rsidRDefault="00B75662" w:rsidP="00B75662">
            <w:pPr>
              <w:tabs>
                <w:tab w:val="left" w:pos="317"/>
                <w:tab w:val="left" w:pos="1418"/>
              </w:tabs>
              <w:spacing w:line="276" w:lineRule="auto"/>
              <w:rPr>
                <w:rFonts w:ascii="Arial" w:hAnsi="Arial" w:cs="Arial"/>
                <w:b/>
                <w:bCs/>
                <w:color w:val="000000"/>
                <w:sz w:val="20"/>
                <w:szCs w:val="20"/>
              </w:rPr>
            </w:pPr>
            <w:r w:rsidRPr="00865883">
              <w:rPr>
                <w:rFonts w:ascii="Arial" w:hAnsi="Arial" w:cs="Arial"/>
                <w:b/>
                <w:bCs/>
                <w:color w:val="000000"/>
                <w:sz w:val="20"/>
                <w:szCs w:val="20"/>
              </w:rPr>
              <w:t>En principe,</w:t>
            </w:r>
            <w:r w:rsidRPr="00865883">
              <w:rPr>
                <w:rFonts w:ascii="Arial" w:hAnsi="Arial" w:cs="Arial"/>
                <w:bCs/>
                <w:color w:val="000000"/>
                <w:sz w:val="20"/>
                <w:szCs w:val="20"/>
              </w:rPr>
              <w:t xml:space="preserve"> pour </w:t>
            </w:r>
            <w:r>
              <w:rPr>
                <w:rFonts w:ascii="Arial" w:hAnsi="Arial" w:cs="Arial"/>
                <w:bCs/>
                <w:color w:val="000000"/>
                <w:sz w:val="20"/>
                <w:szCs w:val="20"/>
              </w:rPr>
              <w:t>l’achat de</w:t>
            </w:r>
            <w:r w:rsidRPr="00865883">
              <w:rPr>
                <w:rFonts w:ascii="Arial" w:hAnsi="Arial" w:cs="Arial"/>
                <w:bCs/>
                <w:color w:val="000000"/>
                <w:sz w:val="20"/>
                <w:szCs w:val="20"/>
              </w:rPr>
              <w:t xml:space="preserve"> prestations de services, l</w:t>
            </w:r>
            <w:r>
              <w:rPr>
                <w:rFonts w:ascii="Arial" w:hAnsi="Arial" w:cs="Arial"/>
                <w:bCs/>
                <w:color w:val="000000"/>
                <w:sz w:val="20"/>
                <w:szCs w:val="20"/>
              </w:rPr>
              <w:t>a déductibilité</w:t>
            </w:r>
            <w:r w:rsidRPr="00865883">
              <w:rPr>
                <w:rFonts w:ascii="Arial" w:hAnsi="Arial" w:cs="Arial"/>
                <w:bCs/>
                <w:color w:val="000000"/>
                <w:sz w:val="20"/>
                <w:szCs w:val="20"/>
              </w:rPr>
              <w:t xml:space="preserve"> de la TVA intervient au moment </w:t>
            </w:r>
            <w:r>
              <w:rPr>
                <w:rFonts w:ascii="Arial" w:hAnsi="Arial" w:cs="Arial"/>
                <w:bCs/>
                <w:color w:val="000000"/>
                <w:sz w:val="20"/>
                <w:szCs w:val="20"/>
              </w:rPr>
              <w:t>du paiement</w:t>
            </w:r>
            <w:r w:rsidRPr="00865883">
              <w:rPr>
                <w:rFonts w:ascii="Arial" w:hAnsi="Arial" w:cs="Arial"/>
                <w:bCs/>
                <w:color w:val="000000"/>
                <w:sz w:val="20"/>
                <w:szCs w:val="20"/>
              </w:rPr>
              <w:t xml:space="preserve"> du prix. </w:t>
            </w:r>
          </w:p>
          <w:p w14:paraId="2C9D062F" w14:textId="0F359526" w:rsidR="00B75662" w:rsidRPr="00865883" w:rsidRDefault="00B75662" w:rsidP="00B75662">
            <w:pPr>
              <w:tabs>
                <w:tab w:val="left" w:pos="317"/>
                <w:tab w:val="left" w:pos="1418"/>
              </w:tabs>
              <w:spacing w:line="276" w:lineRule="auto"/>
              <w:rPr>
                <w:rFonts w:ascii="Arial" w:hAnsi="Arial" w:cs="Arial"/>
                <w:b/>
                <w:bCs/>
                <w:color w:val="000000"/>
                <w:sz w:val="20"/>
                <w:szCs w:val="20"/>
              </w:rPr>
            </w:pPr>
            <w:r w:rsidRPr="00865883">
              <w:rPr>
                <w:rFonts w:ascii="Arial" w:hAnsi="Arial" w:cs="Arial"/>
                <w:b/>
                <w:bCs/>
                <w:i/>
                <w:color w:val="000000"/>
                <w:sz w:val="20"/>
                <w:szCs w:val="20"/>
              </w:rPr>
              <w:t>Cependant</w:t>
            </w:r>
            <w:r w:rsidRPr="00865883">
              <w:rPr>
                <w:rFonts w:ascii="Arial" w:hAnsi="Arial" w:cs="Arial"/>
                <w:bCs/>
                <w:color w:val="000000"/>
                <w:sz w:val="20"/>
                <w:szCs w:val="20"/>
              </w:rPr>
              <w:t>, en cas d’option pour les débits</w:t>
            </w:r>
            <w:r>
              <w:rPr>
                <w:rFonts w:ascii="Arial" w:hAnsi="Arial" w:cs="Arial"/>
                <w:bCs/>
                <w:color w:val="000000"/>
                <w:sz w:val="20"/>
                <w:szCs w:val="20"/>
              </w:rPr>
              <w:t xml:space="preserve"> par le fournisseur</w:t>
            </w:r>
            <w:r w:rsidRPr="00865883">
              <w:rPr>
                <w:rFonts w:ascii="Arial" w:hAnsi="Arial" w:cs="Arial"/>
                <w:bCs/>
                <w:color w:val="000000"/>
                <w:sz w:val="20"/>
                <w:szCs w:val="20"/>
              </w:rPr>
              <w:t>, l</w:t>
            </w:r>
            <w:r>
              <w:rPr>
                <w:rFonts w:ascii="Arial" w:hAnsi="Arial" w:cs="Arial"/>
                <w:bCs/>
                <w:color w:val="000000"/>
                <w:sz w:val="20"/>
                <w:szCs w:val="20"/>
              </w:rPr>
              <w:t>a déductibilité</w:t>
            </w:r>
            <w:r w:rsidRPr="00865883">
              <w:rPr>
                <w:rFonts w:ascii="Arial" w:hAnsi="Arial" w:cs="Arial"/>
                <w:bCs/>
                <w:color w:val="000000"/>
                <w:sz w:val="20"/>
                <w:szCs w:val="20"/>
              </w:rPr>
              <w:t xml:space="preserve"> intervient dès la facturation. </w:t>
            </w:r>
          </w:p>
          <w:p w14:paraId="0CA5788C" w14:textId="6CE575DD" w:rsidR="00865883" w:rsidRPr="00B75662" w:rsidRDefault="00B75662" w:rsidP="00B75662">
            <w:pPr>
              <w:rPr>
                <w:rFonts w:ascii="Arial" w:hAnsi="Arial" w:cs="Arial"/>
                <w:bCs/>
                <w:color w:val="000000"/>
                <w:sz w:val="20"/>
                <w:szCs w:val="20"/>
              </w:rPr>
            </w:pPr>
            <w:r w:rsidRPr="00865883">
              <w:rPr>
                <w:rFonts w:ascii="Arial" w:hAnsi="Arial" w:cs="Arial"/>
                <w:b/>
                <w:bCs/>
                <w:color w:val="000000"/>
                <w:sz w:val="20"/>
                <w:szCs w:val="20"/>
              </w:rPr>
              <w:t>En l’espèce,</w:t>
            </w:r>
            <w:r w:rsidRPr="00865883">
              <w:rPr>
                <w:rFonts w:ascii="Arial" w:hAnsi="Arial" w:cs="Arial"/>
                <w:bCs/>
                <w:color w:val="000000"/>
                <w:sz w:val="20"/>
                <w:szCs w:val="20"/>
              </w:rPr>
              <w:t xml:space="preserve"> </w:t>
            </w:r>
            <w:r>
              <w:rPr>
                <w:rFonts w:ascii="Arial" w:hAnsi="Arial" w:cs="Arial"/>
                <w:bCs/>
                <w:color w:val="000000"/>
                <w:sz w:val="20"/>
                <w:szCs w:val="20"/>
              </w:rPr>
              <w:t>le fournisseur n’a pas opté d’après les débits. Cependant comme la facture a été réglée en septembre 2019, la TVA est déductible au titre de ce mois.</w:t>
            </w:r>
          </w:p>
        </w:tc>
        <w:tc>
          <w:tcPr>
            <w:tcW w:w="1394" w:type="dxa"/>
            <w:tcBorders>
              <w:bottom w:val="single" w:sz="4" w:space="0" w:color="auto"/>
            </w:tcBorders>
            <w:vAlign w:val="center"/>
          </w:tcPr>
          <w:p w14:paraId="430E57F2" w14:textId="26C9B730" w:rsidR="00865883" w:rsidRPr="00865883" w:rsidRDefault="00B75662" w:rsidP="00865883">
            <w:pPr>
              <w:jc w:val="center"/>
              <w:rPr>
                <w:rFonts w:ascii="Arial" w:hAnsi="Arial" w:cs="Arial"/>
                <w:sz w:val="20"/>
                <w:szCs w:val="20"/>
              </w:rPr>
            </w:pPr>
            <w:r>
              <w:rPr>
                <w:rFonts w:ascii="Arial" w:hAnsi="Arial" w:cs="Arial"/>
                <w:sz w:val="20"/>
                <w:szCs w:val="20"/>
              </w:rPr>
              <w:t>600</w:t>
            </w:r>
          </w:p>
        </w:tc>
        <w:tc>
          <w:tcPr>
            <w:tcW w:w="1431" w:type="dxa"/>
            <w:tcBorders>
              <w:bottom w:val="single" w:sz="4" w:space="0" w:color="auto"/>
            </w:tcBorders>
            <w:vAlign w:val="center"/>
          </w:tcPr>
          <w:p w14:paraId="1850A486" w14:textId="77777777" w:rsidR="00865883" w:rsidRPr="00865883" w:rsidRDefault="00865883" w:rsidP="00865883">
            <w:pPr>
              <w:jc w:val="center"/>
              <w:rPr>
                <w:rFonts w:ascii="Arial" w:hAnsi="Arial" w:cs="Arial"/>
                <w:sz w:val="20"/>
                <w:szCs w:val="20"/>
              </w:rPr>
            </w:pPr>
          </w:p>
        </w:tc>
      </w:tr>
    </w:tbl>
    <w:p w14:paraId="78C3D8BA" w14:textId="77777777" w:rsidR="00326E25" w:rsidRDefault="00326E25">
      <w:r>
        <w:br w:type="page"/>
      </w:r>
    </w:p>
    <w:tbl>
      <w:tblPr>
        <w:tblStyle w:val="Grilledutableau"/>
        <w:tblW w:w="0" w:type="auto"/>
        <w:tblBorders>
          <w:bottom w:val="none" w:sz="0" w:space="0" w:color="auto"/>
        </w:tblBorders>
        <w:tblLook w:val="04A0" w:firstRow="1" w:lastRow="0" w:firstColumn="1" w:lastColumn="0" w:noHBand="0" w:noVBand="1"/>
      </w:tblPr>
      <w:tblGrid>
        <w:gridCol w:w="1545"/>
        <w:gridCol w:w="1984"/>
        <w:gridCol w:w="3500"/>
        <w:gridCol w:w="1394"/>
        <w:gridCol w:w="1431"/>
      </w:tblGrid>
      <w:tr w:rsidR="00326E25" w14:paraId="01FFAA6F" w14:textId="77777777" w:rsidTr="009F4587">
        <w:trPr>
          <w:tblHeader/>
        </w:trPr>
        <w:tc>
          <w:tcPr>
            <w:tcW w:w="1545" w:type="dxa"/>
            <w:tcBorders>
              <w:bottom w:val="single" w:sz="4" w:space="0" w:color="auto"/>
            </w:tcBorders>
            <w:vAlign w:val="center"/>
          </w:tcPr>
          <w:p w14:paraId="22A146F9" w14:textId="483A1EFE" w:rsidR="00326E25" w:rsidRPr="00887954" w:rsidRDefault="00326E25" w:rsidP="009F4587">
            <w:pPr>
              <w:jc w:val="center"/>
              <w:rPr>
                <w:rFonts w:ascii="Arial" w:hAnsi="Arial" w:cs="Arial"/>
                <w:b/>
                <w:sz w:val="20"/>
              </w:rPr>
            </w:pPr>
            <w:r w:rsidRPr="00887954">
              <w:rPr>
                <w:rFonts w:ascii="Arial" w:hAnsi="Arial" w:cs="Arial"/>
                <w:b/>
                <w:sz w:val="20"/>
              </w:rPr>
              <w:lastRenderedPageBreak/>
              <w:t>Nature de l’opération</w:t>
            </w:r>
          </w:p>
        </w:tc>
        <w:tc>
          <w:tcPr>
            <w:tcW w:w="1984" w:type="dxa"/>
            <w:tcBorders>
              <w:bottom w:val="single" w:sz="4" w:space="0" w:color="auto"/>
            </w:tcBorders>
            <w:vAlign w:val="center"/>
          </w:tcPr>
          <w:p w14:paraId="202C7502" w14:textId="77777777" w:rsidR="00326E25" w:rsidRPr="00887954" w:rsidRDefault="00326E25" w:rsidP="009F4587">
            <w:pPr>
              <w:jc w:val="center"/>
              <w:rPr>
                <w:rFonts w:ascii="Arial" w:hAnsi="Arial" w:cs="Arial"/>
                <w:b/>
                <w:sz w:val="20"/>
              </w:rPr>
            </w:pPr>
            <w:r w:rsidRPr="00887954">
              <w:rPr>
                <w:rFonts w:ascii="Arial" w:hAnsi="Arial" w:cs="Arial"/>
                <w:b/>
                <w:sz w:val="20"/>
              </w:rPr>
              <w:t>Qualification fiscale de l’opération</w:t>
            </w:r>
          </w:p>
        </w:tc>
        <w:tc>
          <w:tcPr>
            <w:tcW w:w="3500" w:type="dxa"/>
            <w:tcBorders>
              <w:bottom w:val="single" w:sz="4" w:space="0" w:color="auto"/>
            </w:tcBorders>
            <w:vAlign w:val="center"/>
          </w:tcPr>
          <w:p w14:paraId="64918A31" w14:textId="77777777" w:rsidR="00326E25" w:rsidRPr="00887954" w:rsidRDefault="00326E25" w:rsidP="009F4587">
            <w:pPr>
              <w:jc w:val="center"/>
              <w:rPr>
                <w:rFonts w:ascii="Arial" w:hAnsi="Arial" w:cs="Arial"/>
                <w:b/>
                <w:sz w:val="20"/>
              </w:rPr>
            </w:pPr>
            <w:r w:rsidRPr="00887954">
              <w:rPr>
                <w:rFonts w:ascii="Arial" w:hAnsi="Arial" w:cs="Arial"/>
                <w:b/>
                <w:sz w:val="20"/>
              </w:rPr>
              <w:t>Ana</w:t>
            </w:r>
            <w:r>
              <w:rPr>
                <w:rFonts w:ascii="Arial" w:hAnsi="Arial" w:cs="Arial"/>
                <w:b/>
                <w:sz w:val="20"/>
              </w:rPr>
              <w:t>lyse fiscale (Règle de droit + A</w:t>
            </w:r>
            <w:r w:rsidRPr="00887954">
              <w:rPr>
                <w:rFonts w:ascii="Arial" w:hAnsi="Arial" w:cs="Arial"/>
                <w:b/>
                <w:sz w:val="20"/>
              </w:rPr>
              <w:t>pplication en l’espèce)</w:t>
            </w:r>
          </w:p>
        </w:tc>
        <w:tc>
          <w:tcPr>
            <w:tcW w:w="1394" w:type="dxa"/>
            <w:tcBorders>
              <w:bottom w:val="single" w:sz="4" w:space="0" w:color="auto"/>
            </w:tcBorders>
            <w:vAlign w:val="center"/>
          </w:tcPr>
          <w:p w14:paraId="3E6F6A0B" w14:textId="77777777" w:rsidR="00326E25" w:rsidRPr="00887954" w:rsidRDefault="00326E25" w:rsidP="009F4587">
            <w:pPr>
              <w:jc w:val="center"/>
              <w:rPr>
                <w:rFonts w:ascii="Arial" w:hAnsi="Arial" w:cs="Arial"/>
                <w:b/>
                <w:sz w:val="20"/>
              </w:rPr>
            </w:pPr>
            <w:r w:rsidRPr="00887954">
              <w:rPr>
                <w:rFonts w:ascii="Arial" w:hAnsi="Arial" w:cs="Arial"/>
                <w:b/>
                <w:sz w:val="20"/>
              </w:rPr>
              <w:t>TVA déductible</w:t>
            </w:r>
          </w:p>
        </w:tc>
        <w:tc>
          <w:tcPr>
            <w:tcW w:w="1431" w:type="dxa"/>
            <w:tcBorders>
              <w:bottom w:val="single" w:sz="4" w:space="0" w:color="auto"/>
            </w:tcBorders>
            <w:vAlign w:val="center"/>
          </w:tcPr>
          <w:p w14:paraId="53440595" w14:textId="77777777" w:rsidR="00326E25" w:rsidRDefault="00326E25" w:rsidP="009F4587">
            <w:pPr>
              <w:jc w:val="center"/>
              <w:rPr>
                <w:rFonts w:ascii="Arial" w:hAnsi="Arial" w:cs="Arial"/>
                <w:b/>
                <w:sz w:val="20"/>
              </w:rPr>
            </w:pPr>
            <w:r w:rsidRPr="00887954">
              <w:rPr>
                <w:rFonts w:ascii="Arial" w:hAnsi="Arial" w:cs="Arial"/>
                <w:b/>
                <w:sz w:val="20"/>
              </w:rPr>
              <w:t xml:space="preserve">TVA </w:t>
            </w:r>
          </w:p>
          <w:p w14:paraId="7396F9F2" w14:textId="77777777" w:rsidR="00326E25" w:rsidRPr="00887954" w:rsidRDefault="00326E25" w:rsidP="009F4587">
            <w:pPr>
              <w:jc w:val="center"/>
              <w:rPr>
                <w:rFonts w:ascii="Arial" w:hAnsi="Arial" w:cs="Arial"/>
                <w:b/>
                <w:sz w:val="20"/>
              </w:rPr>
            </w:pPr>
            <w:r w:rsidRPr="00887954">
              <w:rPr>
                <w:rFonts w:ascii="Arial" w:hAnsi="Arial" w:cs="Arial"/>
                <w:b/>
                <w:sz w:val="20"/>
              </w:rPr>
              <w:t>Exigible</w:t>
            </w:r>
          </w:p>
        </w:tc>
      </w:tr>
      <w:tr w:rsidR="00865883" w14:paraId="608A8300" w14:textId="77777777" w:rsidTr="00326E25">
        <w:trPr>
          <w:tblHeader/>
        </w:trPr>
        <w:tc>
          <w:tcPr>
            <w:tcW w:w="1545" w:type="dxa"/>
            <w:vAlign w:val="center"/>
          </w:tcPr>
          <w:p w14:paraId="54576AEE" w14:textId="7965A1AA" w:rsidR="00865883" w:rsidRPr="00865883" w:rsidRDefault="00633568" w:rsidP="00865883">
            <w:pPr>
              <w:jc w:val="center"/>
              <w:rPr>
                <w:rFonts w:ascii="Arial" w:hAnsi="Arial" w:cs="Arial"/>
                <w:sz w:val="20"/>
                <w:szCs w:val="20"/>
              </w:rPr>
            </w:pPr>
            <w:r>
              <w:rPr>
                <w:rFonts w:ascii="Arial" w:hAnsi="Arial" w:cs="Arial"/>
                <w:sz w:val="20"/>
                <w:szCs w:val="20"/>
              </w:rPr>
              <w:t xml:space="preserve">Crédit-bail sur véhicule de tourisme </w:t>
            </w:r>
          </w:p>
        </w:tc>
        <w:tc>
          <w:tcPr>
            <w:tcW w:w="1984" w:type="dxa"/>
            <w:vAlign w:val="center"/>
          </w:tcPr>
          <w:p w14:paraId="38AE08A0" w14:textId="399265EC" w:rsidR="00865883" w:rsidRPr="00865883" w:rsidRDefault="005B65C0" w:rsidP="0006757F">
            <w:pPr>
              <w:jc w:val="center"/>
              <w:rPr>
                <w:rFonts w:ascii="Arial" w:hAnsi="Arial" w:cs="Arial"/>
                <w:sz w:val="20"/>
                <w:szCs w:val="20"/>
              </w:rPr>
            </w:pPr>
            <w:r>
              <w:rPr>
                <w:rFonts w:ascii="Arial" w:hAnsi="Arial" w:cs="Arial"/>
                <w:sz w:val="20"/>
                <w:szCs w:val="20"/>
              </w:rPr>
              <w:t>Prestation de services</w:t>
            </w:r>
            <w:r w:rsidR="0006757F">
              <w:rPr>
                <w:rFonts w:ascii="Arial" w:hAnsi="Arial" w:cs="Arial"/>
                <w:sz w:val="20"/>
                <w:szCs w:val="20"/>
              </w:rPr>
              <w:t xml:space="preserve"> </w:t>
            </w:r>
          </w:p>
        </w:tc>
        <w:tc>
          <w:tcPr>
            <w:tcW w:w="3500" w:type="dxa"/>
            <w:vAlign w:val="center"/>
          </w:tcPr>
          <w:p w14:paraId="1561504C" w14:textId="2D7BF126" w:rsidR="005B65C0" w:rsidRPr="005B65C0" w:rsidRDefault="005B65C0" w:rsidP="005B65C0">
            <w:pPr>
              <w:tabs>
                <w:tab w:val="left" w:pos="317"/>
                <w:tab w:val="left" w:pos="1418"/>
              </w:tabs>
              <w:spacing w:line="276" w:lineRule="auto"/>
              <w:rPr>
                <w:rFonts w:ascii="Arial" w:hAnsi="Arial" w:cs="Arial"/>
                <w:bCs/>
                <w:color w:val="000000"/>
                <w:sz w:val="20"/>
                <w:szCs w:val="20"/>
              </w:rPr>
            </w:pPr>
            <w:r w:rsidRPr="005B65C0">
              <w:rPr>
                <w:rFonts w:ascii="Arial" w:hAnsi="Arial" w:cs="Arial"/>
                <w:b/>
                <w:bCs/>
                <w:color w:val="000000"/>
                <w:sz w:val="20"/>
                <w:szCs w:val="20"/>
              </w:rPr>
              <w:t>En principe</w:t>
            </w:r>
            <w:r w:rsidRPr="005B65C0">
              <w:rPr>
                <w:rFonts w:ascii="Arial" w:hAnsi="Arial" w:cs="Arial"/>
                <w:bCs/>
                <w:color w:val="000000"/>
                <w:sz w:val="20"/>
                <w:szCs w:val="20"/>
              </w:rPr>
              <w:t xml:space="preserve">, </w:t>
            </w:r>
            <w:r>
              <w:rPr>
                <w:rFonts w:ascii="Arial" w:hAnsi="Arial" w:cs="Arial"/>
                <w:bCs/>
                <w:color w:val="000000"/>
                <w:sz w:val="20"/>
                <w:szCs w:val="20"/>
              </w:rPr>
              <w:t xml:space="preserve">la TVA sur les </w:t>
            </w:r>
            <w:r w:rsidRPr="005B65C0">
              <w:rPr>
                <w:rFonts w:ascii="Arial" w:hAnsi="Arial" w:cs="Arial"/>
                <w:bCs/>
                <w:color w:val="000000"/>
                <w:sz w:val="20"/>
                <w:szCs w:val="20"/>
              </w:rPr>
              <w:t>achats de prestations de services pour les besoins et dans l’intérêt de l’entreprise sont normalement déductibles.</w:t>
            </w:r>
          </w:p>
          <w:p w14:paraId="63B893E3" w14:textId="7CC5E8DD" w:rsidR="005B65C0" w:rsidRPr="005B65C0" w:rsidRDefault="005B65C0" w:rsidP="005B65C0">
            <w:pPr>
              <w:tabs>
                <w:tab w:val="left" w:pos="317"/>
                <w:tab w:val="left" w:pos="1418"/>
              </w:tabs>
              <w:spacing w:line="276" w:lineRule="auto"/>
              <w:rPr>
                <w:rFonts w:ascii="Arial" w:hAnsi="Arial" w:cs="Arial"/>
                <w:bCs/>
                <w:color w:val="000000"/>
                <w:sz w:val="20"/>
                <w:szCs w:val="20"/>
              </w:rPr>
            </w:pPr>
            <w:r w:rsidRPr="005B65C0">
              <w:rPr>
                <w:rFonts w:ascii="Arial" w:hAnsi="Arial" w:cs="Arial"/>
                <w:b/>
                <w:bCs/>
                <w:i/>
                <w:color w:val="000000"/>
                <w:sz w:val="20"/>
                <w:szCs w:val="20"/>
              </w:rPr>
              <w:t>Cependant,</w:t>
            </w:r>
            <w:r w:rsidRPr="005B65C0">
              <w:rPr>
                <w:rFonts w:ascii="Arial" w:hAnsi="Arial" w:cs="Arial"/>
                <w:bCs/>
                <w:color w:val="000000"/>
                <w:sz w:val="20"/>
                <w:szCs w:val="20"/>
              </w:rPr>
              <w:t xml:space="preserve"> l</w:t>
            </w:r>
            <w:r>
              <w:rPr>
                <w:rFonts w:ascii="Arial" w:hAnsi="Arial" w:cs="Arial"/>
                <w:bCs/>
                <w:color w:val="000000"/>
                <w:sz w:val="20"/>
                <w:szCs w:val="20"/>
              </w:rPr>
              <w:t xml:space="preserve">a TVA sur les </w:t>
            </w:r>
            <w:r w:rsidRPr="005B65C0">
              <w:rPr>
                <w:rFonts w:ascii="Arial" w:hAnsi="Arial" w:cs="Arial"/>
                <w:bCs/>
                <w:color w:val="000000"/>
                <w:sz w:val="20"/>
                <w:szCs w:val="20"/>
              </w:rPr>
              <w:t>frais d’acquisition</w:t>
            </w:r>
            <w:r>
              <w:rPr>
                <w:rFonts w:ascii="Arial" w:hAnsi="Arial" w:cs="Arial"/>
                <w:bCs/>
                <w:color w:val="000000"/>
                <w:sz w:val="20"/>
                <w:szCs w:val="20"/>
              </w:rPr>
              <w:t>, de location</w:t>
            </w:r>
            <w:r w:rsidRPr="005B65C0">
              <w:rPr>
                <w:rFonts w:ascii="Arial" w:hAnsi="Arial" w:cs="Arial"/>
                <w:bCs/>
                <w:color w:val="000000"/>
                <w:sz w:val="20"/>
                <w:szCs w:val="20"/>
              </w:rPr>
              <w:t xml:space="preserve"> et d’entretien de moyens de transport de personnes sont exclus du droit à déduction </w:t>
            </w:r>
          </w:p>
          <w:p w14:paraId="078DA5A4" w14:textId="363B09FF" w:rsidR="00865883" w:rsidRPr="005B65C0" w:rsidRDefault="005B65C0" w:rsidP="005B65C0">
            <w:pPr>
              <w:tabs>
                <w:tab w:val="left" w:pos="317"/>
                <w:tab w:val="left" w:pos="1418"/>
              </w:tabs>
              <w:spacing w:line="276" w:lineRule="auto"/>
              <w:rPr>
                <w:rFonts w:ascii="Arial" w:hAnsi="Arial" w:cs="Arial"/>
                <w:bCs/>
                <w:color w:val="000000"/>
                <w:sz w:val="20"/>
                <w:szCs w:val="20"/>
              </w:rPr>
            </w:pPr>
            <w:r w:rsidRPr="005B65C0">
              <w:rPr>
                <w:rFonts w:ascii="Arial" w:hAnsi="Arial" w:cs="Arial"/>
                <w:b/>
                <w:bCs/>
                <w:color w:val="000000"/>
                <w:sz w:val="20"/>
                <w:szCs w:val="20"/>
              </w:rPr>
              <w:t>En l’espèce</w:t>
            </w:r>
            <w:r w:rsidR="001A13F2">
              <w:rPr>
                <w:rFonts w:ascii="Arial" w:hAnsi="Arial" w:cs="Arial"/>
                <w:bCs/>
                <w:color w:val="000000"/>
                <w:sz w:val="20"/>
                <w:szCs w:val="20"/>
              </w:rPr>
              <w:t>, la mensualité de  </w:t>
            </w:r>
            <w:r w:rsidRPr="005B65C0">
              <w:rPr>
                <w:rFonts w:ascii="Arial" w:hAnsi="Arial" w:cs="Arial"/>
                <w:bCs/>
                <w:color w:val="000000"/>
                <w:sz w:val="20"/>
                <w:szCs w:val="20"/>
              </w:rPr>
              <w:t>crédit-bail (véhicule de tourisme) n’ouvre pas droit à déduction de la TVA.</w:t>
            </w:r>
          </w:p>
        </w:tc>
        <w:tc>
          <w:tcPr>
            <w:tcW w:w="1394" w:type="dxa"/>
            <w:vAlign w:val="center"/>
          </w:tcPr>
          <w:p w14:paraId="60182AF1" w14:textId="17C0DF36" w:rsidR="00865883" w:rsidRPr="00865883" w:rsidRDefault="00865883" w:rsidP="00865883">
            <w:pPr>
              <w:jc w:val="center"/>
              <w:rPr>
                <w:rFonts w:ascii="Arial" w:hAnsi="Arial" w:cs="Arial"/>
                <w:sz w:val="20"/>
                <w:szCs w:val="20"/>
              </w:rPr>
            </w:pPr>
          </w:p>
        </w:tc>
        <w:tc>
          <w:tcPr>
            <w:tcW w:w="1431" w:type="dxa"/>
            <w:vAlign w:val="center"/>
          </w:tcPr>
          <w:p w14:paraId="1A343964" w14:textId="77777777" w:rsidR="00865883" w:rsidRPr="00865883" w:rsidRDefault="00865883" w:rsidP="00865883">
            <w:pPr>
              <w:jc w:val="center"/>
              <w:rPr>
                <w:rFonts w:ascii="Arial" w:hAnsi="Arial" w:cs="Arial"/>
                <w:sz w:val="20"/>
                <w:szCs w:val="20"/>
              </w:rPr>
            </w:pPr>
          </w:p>
        </w:tc>
      </w:tr>
      <w:tr w:rsidR="00865883" w14:paraId="53EEBE9C" w14:textId="77777777" w:rsidTr="00326E25">
        <w:trPr>
          <w:tblHeader/>
        </w:trPr>
        <w:tc>
          <w:tcPr>
            <w:tcW w:w="1545" w:type="dxa"/>
            <w:tcBorders>
              <w:bottom w:val="single" w:sz="4" w:space="0" w:color="auto"/>
            </w:tcBorders>
            <w:vAlign w:val="center"/>
          </w:tcPr>
          <w:p w14:paraId="3CD07064" w14:textId="4871E1F4" w:rsidR="00865883" w:rsidRPr="00865883" w:rsidRDefault="005503BC" w:rsidP="00865883">
            <w:pPr>
              <w:jc w:val="center"/>
              <w:rPr>
                <w:rFonts w:ascii="Arial" w:hAnsi="Arial" w:cs="Arial"/>
                <w:sz w:val="20"/>
                <w:szCs w:val="20"/>
              </w:rPr>
            </w:pPr>
            <w:r>
              <w:rPr>
                <w:rFonts w:ascii="Arial" w:hAnsi="Arial" w:cs="Arial"/>
                <w:sz w:val="20"/>
                <w:szCs w:val="20"/>
              </w:rPr>
              <w:t>Honoraires de l’avocat</w:t>
            </w:r>
          </w:p>
        </w:tc>
        <w:tc>
          <w:tcPr>
            <w:tcW w:w="1984" w:type="dxa"/>
            <w:tcBorders>
              <w:bottom w:val="single" w:sz="4" w:space="0" w:color="auto"/>
            </w:tcBorders>
            <w:vAlign w:val="center"/>
          </w:tcPr>
          <w:p w14:paraId="23747A8E" w14:textId="53BBD61E" w:rsidR="00865883" w:rsidRPr="00865883" w:rsidRDefault="005503BC" w:rsidP="00865883">
            <w:pPr>
              <w:jc w:val="center"/>
              <w:rPr>
                <w:rFonts w:ascii="Arial" w:hAnsi="Arial" w:cs="Arial"/>
                <w:sz w:val="20"/>
                <w:szCs w:val="20"/>
              </w:rPr>
            </w:pPr>
            <w:r>
              <w:rPr>
                <w:rFonts w:ascii="Arial" w:hAnsi="Arial" w:cs="Arial"/>
                <w:sz w:val="20"/>
                <w:szCs w:val="20"/>
              </w:rPr>
              <w:t>Prestation de services</w:t>
            </w:r>
          </w:p>
        </w:tc>
        <w:tc>
          <w:tcPr>
            <w:tcW w:w="3500" w:type="dxa"/>
            <w:tcBorders>
              <w:bottom w:val="single" w:sz="4" w:space="0" w:color="auto"/>
            </w:tcBorders>
            <w:vAlign w:val="center"/>
          </w:tcPr>
          <w:p w14:paraId="53C10D4F" w14:textId="77777777" w:rsidR="00DD52EE" w:rsidRPr="00865883" w:rsidRDefault="00DD52EE" w:rsidP="00DD52EE">
            <w:pPr>
              <w:tabs>
                <w:tab w:val="left" w:pos="317"/>
                <w:tab w:val="left" w:pos="1418"/>
              </w:tabs>
              <w:spacing w:line="276" w:lineRule="auto"/>
              <w:rPr>
                <w:rFonts w:ascii="Arial" w:hAnsi="Arial" w:cs="Arial"/>
                <w:b/>
                <w:bCs/>
                <w:color w:val="000000"/>
                <w:sz w:val="20"/>
                <w:szCs w:val="20"/>
              </w:rPr>
            </w:pPr>
            <w:r w:rsidRPr="00865883">
              <w:rPr>
                <w:rFonts w:ascii="Arial" w:hAnsi="Arial" w:cs="Arial"/>
                <w:b/>
                <w:bCs/>
                <w:color w:val="000000"/>
                <w:sz w:val="20"/>
                <w:szCs w:val="20"/>
              </w:rPr>
              <w:t>En principe,</w:t>
            </w:r>
            <w:r w:rsidRPr="00865883">
              <w:rPr>
                <w:rFonts w:ascii="Arial" w:hAnsi="Arial" w:cs="Arial"/>
                <w:bCs/>
                <w:color w:val="000000"/>
                <w:sz w:val="20"/>
                <w:szCs w:val="20"/>
              </w:rPr>
              <w:t xml:space="preserve"> pour </w:t>
            </w:r>
            <w:r>
              <w:rPr>
                <w:rFonts w:ascii="Arial" w:hAnsi="Arial" w:cs="Arial"/>
                <w:bCs/>
                <w:color w:val="000000"/>
                <w:sz w:val="20"/>
                <w:szCs w:val="20"/>
              </w:rPr>
              <w:t>l’achat de</w:t>
            </w:r>
            <w:r w:rsidRPr="00865883">
              <w:rPr>
                <w:rFonts w:ascii="Arial" w:hAnsi="Arial" w:cs="Arial"/>
                <w:bCs/>
                <w:color w:val="000000"/>
                <w:sz w:val="20"/>
                <w:szCs w:val="20"/>
              </w:rPr>
              <w:t xml:space="preserve"> prestations de services, l</w:t>
            </w:r>
            <w:r>
              <w:rPr>
                <w:rFonts w:ascii="Arial" w:hAnsi="Arial" w:cs="Arial"/>
                <w:bCs/>
                <w:color w:val="000000"/>
                <w:sz w:val="20"/>
                <w:szCs w:val="20"/>
              </w:rPr>
              <w:t>a déductibilité</w:t>
            </w:r>
            <w:r w:rsidRPr="00865883">
              <w:rPr>
                <w:rFonts w:ascii="Arial" w:hAnsi="Arial" w:cs="Arial"/>
                <w:bCs/>
                <w:color w:val="000000"/>
                <w:sz w:val="20"/>
                <w:szCs w:val="20"/>
              </w:rPr>
              <w:t xml:space="preserve"> de la TVA intervient au moment </w:t>
            </w:r>
            <w:r>
              <w:rPr>
                <w:rFonts w:ascii="Arial" w:hAnsi="Arial" w:cs="Arial"/>
                <w:bCs/>
                <w:color w:val="000000"/>
                <w:sz w:val="20"/>
                <w:szCs w:val="20"/>
              </w:rPr>
              <w:t>du paiement</w:t>
            </w:r>
            <w:r w:rsidRPr="00865883">
              <w:rPr>
                <w:rFonts w:ascii="Arial" w:hAnsi="Arial" w:cs="Arial"/>
                <w:bCs/>
                <w:color w:val="000000"/>
                <w:sz w:val="20"/>
                <w:szCs w:val="20"/>
              </w:rPr>
              <w:t xml:space="preserve"> du prix. </w:t>
            </w:r>
          </w:p>
          <w:p w14:paraId="302880D8" w14:textId="77777777" w:rsidR="00DD52EE" w:rsidRPr="00865883" w:rsidRDefault="00DD52EE" w:rsidP="00DD52EE">
            <w:pPr>
              <w:tabs>
                <w:tab w:val="left" w:pos="317"/>
                <w:tab w:val="left" w:pos="1418"/>
              </w:tabs>
              <w:spacing w:line="276" w:lineRule="auto"/>
              <w:rPr>
                <w:rFonts w:ascii="Arial" w:hAnsi="Arial" w:cs="Arial"/>
                <w:b/>
                <w:bCs/>
                <w:color w:val="000000"/>
                <w:sz w:val="20"/>
                <w:szCs w:val="20"/>
              </w:rPr>
            </w:pPr>
            <w:r w:rsidRPr="00865883">
              <w:rPr>
                <w:rFonts w:ascii="Arial" w:hAnsi="Arial" w:cs="Arial"/>
                <w:b/>
                <w:bCs/>
                <w:i/>
                <w:color w:val="000000"/>
                <w:sz w:val="20"/>
                <w:szCs w:val="20"/>
              </w:rPr>
              <w:t>Cependant</w:t>
            </w:r>
            <w:r w:rsidRPr="00865883">
              <w:rPr>
                <w:rFonts w:ascii="Arial" w:hAnsi="Arial" w:cs="Arial"/>
                <w:bCs/>
                <w:color w:val="000000"/>
                <w:sz w:val="20"/>
                <w:szCs w:val="20"/>
              </w:rPr>
              <w:t>, en cas d’option pour les débits</w:t>
            </w:r>
            <w:r>
              <w:rPr>
                <w:rFonts w:ascii="Arial" w:hAnsi="Arial" w:cs="Arial"/>
                <w:bCs/>
                <w:color w:val="000000"/>
                <w:sz w:val="20"/>
                <w:szCs w:val="20"/>
              </w:rPr>
              <w:t xml:space="preserve"> par le fournisseur</w:t>
            </w:r>
            <w:r w:rsidRPr="00865883">
              <w:rPr>
                <w:rFonts w:ascii="Arial" w:hAnsi="Arial" w:cs="Arial"/>
                <w:bCs/>
                <w:color w:val="000000"/>
                <w:sz w:val="20"/>
                <w:szCs w:val="20"/>
              </w:rPr>
              <w:t>, l</w:t>
            </w:r>
            <w:r>
              <w:rPr>
                <w:rFonts w:ascii="Arial" w:hAnsi="Arial" w:cs="Arial"/>
                <w:bCs/>
                <w:color w:val="000000"/>
                <w:sz w:val="20"/>
                <w:szCs w:val="20"/>
              </w:rPr>
              <w:t>a déductibilité</w:t>
            </w:r>
            <w:r w:rsidRPr="00865883">
              <w:rPr>
                <w:rFonts w:ascii="Arial" w:hAnsi="Arial" w:cs="Arial"/>
                <w:bCs/>
                <w:color w:val="000000"/>
                <w:sz w:val="20"/>
                <w:szCs w:val="20"/>
              </w:rPr>
              <w:t xml:space="preserve"> intervient dès la facturation. </w:t>
            </w:r>
          </w:p>
          <w:p w14:paraId="468E6557" w14:textId="7A1B0E20" w:rsidR="00865883" w:rsidRPr="00865883" w:rsidRDefault="00DD52EE" w:rsidP="00DD52EE">
            <w:pPr>
              <w:rPr>
                <w:rFonts w:ascii="Arial" w:hAnsi="Arial" w:cs="Arial"/>
                <w:sz w:val="20"/>
                <w:szCs w:val="20"/>
              </w:rPr>
            </w:pPr>
            <w:r w:rsidRPr="00865883">
              <w:rPr>
                <w:rFonts w:ascii="Arial" w:hAnsi="Arial" w:cs="Arial"/>
                <w:b/>
                <w:bCs/>
                <w:color w:val="000000"/>
                <w:sz w:val="20"/>
                <w:szCs w:val="20"/>
              </w:rPr>
              <w:t>En l’espèce,</w:t>
            </w:r>
            <w:r w:rsidRPr="00865883">
              <w:rPr>
                <w:rFonts w:ascii="Arial" w:hAnsi="Arial" w:cs="Arial"/>
                <w:bCs/>
                <w:color w:val="000000"/>
                <w:sz w:val="20"/>
                <w:szCs w:val="20"/>
              </w:rPr>
              <w:t xml:space="preserve"> </w:t>
            </w:r>
            <w:r>
              <w:rPr>
                <w:rFonts w:ascii="Arial" w:hAnsi="Arial" w:cs="Arial"/>
                <w:bCs/>
                <w:color w:val="000000"/>
                <w:sz w:val="20"/>
                <w:szCs w:val="20"/>
              </w:rPr>
              <w:t>le fournisseur a opté d’après les débits. La TVA est déductible au titre du mois de septembre</w:t>
            </w:r>
            <w:r w:rsidR="00D7553C">
              <w:rPr>
                <w:rFonts w:ascii="Arial" w:hAnsi="Arial" w:cs="Arial"/>
                <w:bCs/>
                <w:color w:val="000000"/>
                <w:sz w:val="20"/>
                <w:szCs w:val="20"/>
              </w:rPr>
              <w:t>, mois d’édition de la facture.</w:t>
            </w:r>
          </w:p>
        </w:tc>
        <w:tc>
          <w:tcPr>
            <w:tcW w:w="1394" w:type="dxa"/>
            <w:tcBorders>
              <w:bottom w:val="single" w:sz="4" w:space="0" w:color="auto"/>
            </w:tcBorders>
            <w:vAlign w:val="center"/>
          </w:tcPr>
          <w:p w14:paraId="5FD28695" w14:textId="5CE9E41B" w:rsidR="00865883" w:rsidRPr="00865883" w:rsidRDefault="00DD52EE" w:rsidP="00865883">
            <w:pPr>
              <w:jc w:val="center"/>
              <w:rPr>
                <w:rFonts w:ascii="Arial" w:hAnsi="Arial" w:cs="Arial"/>
                <w:sz w:val="20"/>
                <w:szCs w:val="20"/>
              </w:rPr>
            </w:pPr>
            <w:r>
              <w:rPr>
                <w:rFonts w:ascii="Arial" w:hAnsi="Arial" w:cs="Arial"/>
                <w:sz w:val="20"/>
                <w:szCs w:val="20"/>
              </w:rPr>
              <w:t>200</w:t>
            </w:r>
          </w:p>
        </w:tc>
        <w:tc>
          <w:tcPr>
            <w:tcW w:w="1431" w:type="dxa"/>
            <w:tcBorders>
              <w:bottom w:val="single" w:sz="4" w:space="0" w:color="auto"/>
            </w:tcBorders>
            <w:vAlign w:val="center"/>
          </w:tcPr>
          <w:p w14:paraId="2A81E303" w14:textId="77777777" w:rsidR="00865883" w:rsidRPr="00865883" w:rsidRDefault="00865883" w:rsidP="00865883">
            <w:pPr>
              <w:jc w:val="center"/>
              <w:rPr>
                <w:rFonts w:ascii="Arial" w:hAnsi="Arial" w:cs="Arial"/>
                <w:sz w:val="20"/>
                <w:szCs w:val="20"/>
              </w:rPr>
            </w:pPr>
          </w:p>
        </w:tc>
      </w:tr>
      <w:tr w:rsidR="00DD52EE" w14:paraId="2D3A3F86" w14:textId="77777777" w:rsidTr="00326E25">
        <w:trPr>
          <w:tblHeader/>
        </w:trPr>
        <w:tc>
          <w:tcPr>
            <w:tcW w:w="7029" w:type="dxa"/>
            <w:gridSpan w:val="3"/>
            <w:tcBorders>
              <w:bottom w:val="single" w:sz="4" w:space="0" w:color="auto"/>
            </w:tcBorders>
            <w:vAlign w:val="center"/>
          </w:tcPr>
          <w:p w14:paraId="3DE8C0DA" w14:textId="5C882923" w:rsidR="00DD52EE" w:rsidRPr="00DD52EE" w:rsidRDefault="00DD52EE" w:rsidP="00DD52EE">
            <w:pPr>
              <w:jc w:val="right"/>
              <w:rPr>
                <w:rFonts w:ascii="Arial" w:hAnsi="Arial" w:cs="Arial"/>
                <w:b/>
                <w:sz w:val="20"/>
                <w:szCs w:val="20"/>
              </w:rPr>
            </w:pPr>
            <w:r w:rsidRPr="00DD52EE">
              <w:rPr>
                <w:rFonts w:ascii="Arial" w:hAnsi="Arial" w:cs="Arial"/>
                <w:b/>
                <w:sz w:val="20"/>
                <w:szCs w:val="20"/>
              </w:rPr>
              <w:t>Total</w:t>
            </w:r>
          </w:p>
        </w:tc>
        <w:tc>
          <w:tcPr>
            <w:tcW w:w="1394" w:type="dxa"/>
            <w:tcBorders>
              <w:bottom w:val="single" w:sz="4" w:space="0" w:color="auto"/>
            </w:tcBorders>
            <w:vAlign w:val="center"/>
          </w:tcPr>
          <w:p w14:paraId="253B4ACE" w14:textId="1C43D3AA" w:rsidR="00DD52EE" w:rsidRPr="00DD52EE" w:rsidRDefault="00DD52EE" w:rsidP="00DD52EE">
            <w:pPr>
              <w:jc w:val="right"/>
              <w:rPr>
                <w:rFonts w:ascii="Arial" w:hAnsi="Arial" w:cs="Arial"/>
                <w:b/>
                <w:sz w:val="20"/>
                <w:szCs w:val="20"/>
              </w:rPr>
            </w:pPr>
            <w:r w:rsidRPr="00DD52EE">
              <w:rPr>
                <w:rFonts w:ascii="Arial" w:hAnsi="Arial" w:cs="Arial"/>
                <w:b/>
                <w:sz w:val="20"/>
                <w:szCs w:val="20"/>
              </w:rPr>
              <w:t>72 300</w:t>
            </w:r>
          </w:p>
        </w:tc>
        <w:tc>
          <w:tcPr>
            <w:tcW w:w="1431" w:type="dxa"/>
            <w:tcBorders>
              <w:bottom w:val="single" w:sz="4" w:space="0" w:color="auto"/>
            </w:tcBorders>
            <w:vAlign w:val="center"/>
          </w:tcPr>
          <w:p w14:paraId="6EB191FB" w14:textId="443E9B6D" w:rsidR="00DD52EE" w:rsidRPr="00DD52EE" w:rsidRDefault="00DD52EE" w:rsidP="00DD52EE">
            <w:pPr>
              <w:jc w:val="right"/>
              <w:rPr>
                <w:rFonts w:ascii="Arial" w:hAnsi="Arial" w:cs="Arial"/>
                <w:b/>
                <w:sz w:val="20"/>
                <w:szCs w:val="20"/>
              </w:rPr>
            </w:pPr>
            <w:r w:rsidRPr="00DD52EE">
              <w:rPr>
                <w:rFonts w:ascii="Arial" w:hAnsi="Arial" w:cs="Arial"/>
                <w:b/>
                <w:sz w:val="20"/>
                <w:szCs w:val="20"/>
              </w:rPr>
              <w:t>31</w:t>
            </w:r>
            <w:r w:rsidR="00D62682">
              <w:rPr>
                <w:rFonts w:ascii="Arial" w:hAnsi="Arial" w:cs="Arial"/>
                <w:b/>
                <w:sz w:val="20"/>
                <w:szCs w:val="20"/>
              </w:rPr>
              <w:t>8</w:t>
            </w:r>
            <w:r w:rsidRPr="00DD52EE">
              <w:rPr>
                <w:rFonts w:ascii="Arial" w:hAnsi="Arial" w:cs="Arial"/>
                <w:b/>
                <w:sz w:val="20"/>
                <w:szCs w:val="20"/>
              </w:rPr>
              <w:t xml:space="preserve"> 500</w:t>
            </w:r>
          </w:p>
        </w:tc>
      </w:tr>
      <w:tr w:rsidR="00DD52EE" w14:paraId="566F6B54" w14:textId="77777777" w:rsidTr="00326E25">
        <w:trPr>
          <w:tblHeader/>
        </w:trPr>
        <w:tc>
          <w:tcPr>
            <w:tcW w:w="7029" w:type="dxa"/>
            <w:gridSpan w:val="3"/>
            <w:tcBorders>
              <w:bottom w:val="single" w:sz="4" w:space="0" w:color="auto"/>
            </w:tcBorders>
            <w:vAlign w:val="center"/>
          </w:tcPr>
          <w:p w14:paraId="345A6DEA" w14:textId="4131A394" w:rsidR="00DD52EE" w:rsidRPr="00DD52EE" w:rsidRDefault="00DD52EE" w:rsidP="00DD52EE">
            <w:pPr>
              <w:jc w:val="right"/>
              <w:rPr>
                <w:rFonts w:ascii="Arial" w:hAnsi="Arial" w:cs="Arial"/>
                <w:b/>
                <w:sz w:val="20"/>
                <w:szCs w:val="20"/>
              </w:rPr>
            </w:pPr>
            <w:r w:rsidRPr="00DD52EE">
              <w:rPr>
                <w:rFonts w:ascii="Arial" w:hAnsi="Arial" w:cs="Arial"/>
                <w:b/>
                <w:sz w:val="20"/>
                <w:szCs w:val="20"/>
              </w:rPr>
              <w:t>TVA due</w:t>
            </w:r>
          </w:p>
        </w:tc>
        <w:tc>
          <w:tcPr>
            <w:tcW w:w="2825" w:type="dxa"/>
            <w:gridSpan w:val="2"/>
            <w:tcBorders>
              <w:bottom w:val="single" w:sz="4" w:space="0" w:color="auto"/>
            </w:tcBorders>
            <w:vAlign w:val="center"/>
          </w:tcPr>
          <w:p w14:paraId="48934FF6" w14:textId="65E3E176" w:rsidR="00DD52EE" w:rsidRPr="00D62682" w:rsidRDefault="00D62682" w:rsidP="00D62682">
            <w:pPr>
              <w:ind w:left="360"/>
              <w:jc w:val="center"/>
              <w:rPr>
                <w:rFonts w:ascii="Arial" w:hAnsi="Arial" w:cs="Arial"/>
                <w:b/>
                <w:sz w:val="20"/>
                <w:szCs w:val="20"/>
              </w:rPr>
            </w:pPr>
            <w:r w:rsidRPr="00D62682">
              <w:rPr>
                <w:rFonts w:ascii="Arial" w:hAnsi="Arial" w:cs="Arial"/>
                <w:b/>
                <w:sz w:val="20"/>
                <w:szCs w:val="20"/>
              </w:rPr>
              <w:t>246</w:t>
            </w:r>
            <w:r w:rsidR="00890089">
              <w:rPr>
                <w:rFonts w:ascii="Arial" w:hAnsi="Arial" w:cs="Arial"/>
                <w:b/>
                <w:sz w:val="20"/>
                <w:szCs w:val="20"/>
              </w:rPr>
              <w:t> </w:t>
            </w:r>
            <w:r w:rsidR="00BC1DFA" w:rsidRPr="00D62682">
              <w:rPr>
                <w:rFonts w:ascii="Arial" w:hAnsi="Arial" w:cs="Arial"/>
                <w:b/>
                <w:sz w:val="20"/>
                <w:szCs w:val="20"/>
              </w:rPr>
              <w:t>200</w:t>
            </w:r>
          </w:p>
        </w:tc>
      </w:tr>
    </w:tbl>
    <w:p w14:paraId="67564B44" w14:textId="77777777" w:rsidR="007C6734" w:rsidRPr="007C6734" w:rsidRDefault="007C6734" w:rsidP="007C6734">
      <w:pPr>
        <w:pStyle w:val="Paragraphedeliste"/>
        <w:rPr>
          <w:rFonts w:ascii="Arial" w:hAnsi="Arial" w:cs="Arial"/>
        </w:rPr>
      </w:pPr>
    </w:p>
    <w:p w14:paraId="2D38AFAC" w14:textId="77777777" w:rsidR="007C6734" w:rsidRPr="007C6734" w:rsidRDefault="007C6734" w:rsidP="007C6734">
      <w:pPr>
        <w:pStyle w:val="Paragraphedeliste"/>
        <w:rPr>
          <w:rFonts w:ascii="Arial" w:hAnsi="Arial" w:cs="Arial"/>
          <w:b/>
        </w:rPr>
      </w:pPr>
    </w:p>
    <w:p w14:paraId="67D424D1" w14:textId="25997444" w:rsidR="007C6734" w:rsidRPr="001A13F2" w:rsidRDefault="007C6734" w:rsidP="00426536">
      <w:pPr>
        <w:pStyle w:val="Paragraphedeliste"/>
        <w:numPr>
          <w:ilvl w:val="1"/>
          <w:numId w:val="21"/>
        </w:numPr>
        <w:rPr>
          <w:rFonts w:ascii="Arial" w:hAnsi="Arial" w:cs="Arial"/>
          <w:b/>
        </w:rPr>
      </w:pPr>
      <w:r w:rsidRPr="001A13F2">
        <w:rPr>
          <w:rFonts w:ascii="Arial" w:hAnsi="Arial" w:cs="Arial"/>
          <w:b/>
        </w:rPr>
        <w:t>Argumente</w:t>
      </w:r>
      <w:r w:rsidR="001A13F2">
        <w:rPr>
          <w:rFonts w:ascii="Arial" w:hAnsi="Arial" w:cs="Arial"/>
          <w:b/>
        </w:rPr>
        <w:t>r</w:t>
      </w:r>
      <w:r w:rsidR="005163EB" w:rsidRPr="001A13F2">
        <w:rPr>
          <w:rFonts w:ascii="Arial" w:hAnsi="Arial" w:cs="Arial"/>
          <w:b/>
        </w:rPr>
        <w:t xml:space="preserve"> de</w:t>
      </w:r>
      <w:r w:rsidRPr="001A13F2">
        <w:rPr>
          <w:rFonts w:ascii="Arial" w:hAnsi="Arial" w:cs="Arial"/>
          <w:b/>
        </w:rPr>
        <w:t xml:space="preserve"> l’intérêt ou non de souscrire à l’option d’après les débits pour la SA Lauster compte tenu de l’impact financier.</w:t>
      </w:r>
    </w:p>
    <w:p w14:paraId="4667BF4F" w14:textId="77777777" w:rsidR="00426536" w:rsidRDefault="00426536" w:rsidP="003275F1">
      <w:pPr>
        <w:tabs>
          <w:tab w:val="left" w:pos="851"/>
          <w:tab w:val="left" w:pos="1418"/>
        </w:tabs>
        <w:rPr>
          <w:rFonts w:ascii="Arial" w:hAnsi="Arial" w:cs="Arial"/>
          <w:b/>
          <w:bCs/>
          <w:color w:val="000000"/>
          <w:sz w:val="22"/>
          <w:u w:val="single"/>
        </w:rPr>
      </w:pPr>
    </w:p>
    <w:p w14:paraId="21294386" w14:textId="0F9C6917" w:rsidR="007C6734" w:rsidRPr="006E1718" w:rsidRDefault="006E1718" w:rsidP="003275F1">
      <w:pPr>
        <w:tabs>
          <w:tab w:val="left" w:pos="851"/>
          <w:tab w:val="left" w:pos="1418"/>
        </w:tabs>
        <w:rPr>
          <w:rFonts w:ascii="Arial" w:hAnsi="Arial" w:cs="Arial"/>
          <w:b/>
          <w:bCs/>
          <w:color w:val="000000"/>
          <w:sz w:val="22"/>
          <w:u w:val="single"/>
        </w:rPr>
      </w:pPr>
      <w:r w:rsidRPr="006E1718">
        <w:rPr>
          <w:rFonts w:ascii="Arial" w:hAnsi="Arial" w:cs="Arial"/>
          <w:b/>
          <w:bCs/>
          <w:color w:val="000000"/>
          <w:sz w:val="22"/>
          <w:u w:val="single"/>
        </w:rPr>
        <w:t>Principe</w:t>
      </w:r>
    </w:p>
    <w:p w14:paraId="0AE6B1D2" w14:textId="53C7763B" w:rsidR="006E1718" w:rsidRDefault="006E1718" w:rsidP="003275F1">
      <w:pPr>
        <w:tabs>
          <w:tab w:val="left" w:pos="851"/>
          <w:tab w:val="left" w:pos="1418"/>
        </w:tabs>
        <w:rPr>
          <w:rFonts w:ascii="Arial" w:hAnsi="Arial" w:cs="Arial"/>
          <w:bCs/>
          <w:color w:val="000000"/>
          <w:sz w:val="22"/>
        </w:rPr>
      </w:pPr>
      <w:r>
        <w:rPr>
          <w:rFonts w:ascii="Arial" w:hAnsi="Arial" w:cs="Arial"/>
          <w:bCs/>
          <w:color w:val="000000"/>
          <w:sz w:val="22"/>
        </w:rPr>
        <w:t>L’option d’après les débits (art 269 2-c al 1 CGI) permet de placer la date d’exigibilité à la date d’inscription des sommes dues au débit du compte client, sur autorisation expresse de l’administration fiscale.</w:t>
      </w:r>
    </w:p>
    <w:p w14:paraId="260F9B7D" w14:textId="5E8273A9" w:rsidR="006E1718" w:rsidRDefault="006E1718" w:rsidP="003275F1">
      <w:pPr>
        <w:tabs>
          <w:tab w:val="left" w:pos="851"/>
          <w:tab w:val="left" w:pos="1418"/>
        </w:tabs>
        <w:rPr>
          <w:rFonts w:ascii="Arial" w:hAnsi="Arial" w:cs="Arial"/>
          <w:bCs/>
          <w:color w:val="000000"/>
          <w:sz w:val="22"/>
        </w:rPr>
      </w:pPr>
      <w:r>
        <w:rPr>
          <w:rFonts w:ascii="Arial" w:hAnsi="Arial" w:cs="Arial"/>
          <w:bCs/>
          <w:color w:val="000000"/>
          <w:sz w:val="22"/>
        </w:rPr>
        <w:t>L’option est ouverte aux personnes réalisant des prestations de services.</w:t>
      </w:r>
    </w:p>
    <w:p w14:paraId="32C45763" w14:textId="575A8974" w:rsidR="006E1718" w:rsidRDefault="006E1718" w:rsidP="003275F1">
      <w:pPr>
        <w:tabs>
          <w:tab w:val="left" w:pos="851"/>
          <w:tab w:val="left" w:pos="1418"/>
        </w:tabs>
        <w:rPr>
          <w:rFonts w:ascii="Arial" w:hAnsi="Arial" w:cs="Arial"/>
          <w:bCs/>
          <w:color w:val="000000"/>
          <w:sz w:val="22"/>
        </w:rPr>
      </w:pPr>
    </w:p>
    <w:p w14:paraId="47581E80" w14:textId="11F61A77" w:rsidR="006E1718" w:rsidRPr="0005654B" w:rsidRDefault="006E1718" w:rsidP="003275F1">
      <w:pPr>
        <w:tabs>
          <w:tab w:val="left" w:pos="851"/>
          <w:tab w:val="left" w:pos="1418"/>
        </w:tabs>
        <w:rPr>
          <w:rFonts w:ascii="Arial" w:hAnsi="Arial" w:cs="Arial"/>
          <w:b/>
          <w:bCs/>
          <w:color w:val="000000"/>
          <w:sz w:val="22"/>
          <w:u w:val="single"/>
        </w:rPr>
      </w:pPr>
      <w:r w:rsidRPr="0005654B">
        <w:rPr>
          <w:rFonts w:ascii="Arial" w:hAnsi="Arial" w:cs="Arial"/>
          <w:b/>
          <w:bCs/>
          <w:color w:val="000000"/>
          <w:sz w:val="22"/>
          <w:u w:val="single"/>
        </w:rPr>
        <w:t>Application</w:t>
      </w:r>
    </w:p>
    <w:p w14:paraId="78FC12D8" w14:textId="0E874E25" w:rsidR="006E1718" w:rsidRDefault="006E1718" w:rsidP="006E1718">
      <w:pPr>
        <w:tabs>
          <w:tab w:val="left" w:pos="851"/>
          <w:tab w:val="left" w:pos="1418"/>
        </w:tabs>
        <w:rPr>
          <w:rFonts w:ascii="Arial" w:hAnsi="Arial" w:cs="Arial"/>
          <w:bCs/>
          <w:color w:val="000000"/>
          <w:sz w:val="22"/>
        </w:rPr>
      </w:pPr>
      <w:r>
        <w:rPr>
          <w:rFonts w:ascii="Arial" w:hAnsi="Arial" w:cs="Arial"/>
          <w:bCs/>
          <w:color w:val="000000"/>
          <w:sz w:val="22"/>
        </w:rPr>
        <w:t xml:space="preserve">En l’espèce, la SA Lauster </w:t>
      </w:r>
      <w:r w:rsidR="0005654B">
        <w:rPr>
          <w:rFonts w:ascii="Arial" w:hAnsi="Arial" w:cs="Arial"/>
          <w:bCs/>
          <w:color w:val="000000"/>
          <w:sz w:val="22"/>
        </w:rPr>
        <w:t xml:space="preserve">a la possibilité de poser </w:t>
      </w:r>
      <w:r>
        <w:rPr>
          <w:rFonts w:ascii="Arial" w:hAnsi="Arial" w:cs="Arial"/>
          <w:bCs/>
          <w:color w:val="000000"/>
          <w:sz w:val="22"/>
        </w:rPr>
        <w:t>l’option d’après les débits car elle réalise des opérations de livraison de biens meubles corporels et des prestations de services.</w:t>
      </w:r>
    </w:p>
    <w:p w14:paraId="4168F195" w14:textId="5B3B4CE7" w:rsidR="006E1718" w:rsidRDefault="006E1718" w:rsidP="003275F1">
      <w:pPr>
        <w:tabs>
          <w:tab w:val="left" w:pos="851"/>
          <w:tab w:val="left" w:pos="1418"/>
        </w:tabs>
        <w:rPr>
          <w:rFonts w:ascii="Arial" w:hAnsi="Arial" w:cs="Arial"/>
          <w:bCs/>
          <w:color w:val="000000"/>
          <w:sz w:val="22"/>
        </w:rPr>
      </w:pPr>
      <w:r>
        <w:rPr>
          <w:rFonts w:ascii="Arial" w:hAnsi="Arial" w:cs="Arial"/>
          <w:bCs/>
          <w:color w:val="000000"/>
          <w:sz w:val="22"/>
        </w:rPr>
        <w:t xml:space="preserve">Dans ce cas </w:t>
      </w:r>
      <w:r w:rsidR="0005654B">
        <w:rPr>
          <w:rFonts w:ascii="Arial" w:hAnsi="Arial" w:cs="Arial"/>
          <w:bCs/>
          <w:color w:val="000000"/>
          <w:sz w:val="22"/>
        </w:rPr>
        <w:t>l’impact</w:t>
      </w:r>
      <w:r>
        <w:rPr>
          <w:rFonts w:ascii="Arial" w:hAnsi="Arial" w:cs="Arial"/>
          <w:bCs/>
          <w:color w:val="000000"/>
          <w:sz w:val="22"/>
        </w:rPr>
        <w:t xml:space="preserve"> concerne uniquement l</w:t>
      </w:r>
      <w:r w:rsidR="0005654B">
        <w:rPr>
          <w:rFonts w:ascii="Arial" w:hAnsi="Arial" w:cs="Arial"/>
          <w:bCs/>
          <w:color w:val="000000"/>
          <w:sz w:val="22"/>
        </w:rPr>
        <w:t>’opération de</w:t>
      </w:r>
      <w:r>
        <w:rPr>
          <w:rFonts w:ascii="Arial" w:hAnsi="Arial" w:cs="Arial"/>
          <w:bCs/>
          <w:color w:val="000000"/>
          <w:sz w:val="22"/>
        </w:rPr>
        <w:t xml:space="preserve"> facturati</w:t>
      </w:r>
      <w:r w:rsidR="0005654B">
        <w:rPr>
          <w:rFonts w:ascii="Arial" w:hAnsi="Arial" w:cs="Arial"/>
          <w:bCs/>
          <w:color w:val="000000"/>
          <w:sz w:val="22"/>
        </w:rPr>
        <w:t xml:space="preserve">on des prestations logistiques qui représente une part modeste du chiffre d’affaires global. La pertinence de l’option est d’autant plus limitée du fait du paiement rapide des filiales (15 jours). </w:t>
      </w:r>
    </w:p>
    <w:p w14:paraId="0D020FF0" w14:textId="5BE64278" w:rsidR="0005654B" w:rsidRDefault="0005654B" w:rsidP="003275F1">
      <w:pPr>
        <w:tabs>
          <w:tab w:val="left" w:pos="851"/>
          <w:tab w:val="left" w:pos="1418"/>
        </w:tabs>
        <w:rPr>
          <w:rFonts w:ascii="Arial" w:hAnsi="Arial" w:cs="Arial"/>
          <w:bCs/>
          <w:color w:val="000000"/>
          <w:sz w:val="22"/>
        </w:rPr>
      </w:pPr>
    </w:p>
    <w:p w14:paraId="2B90DDD2" w14:textId="4B6B9074" w:rsidR="0005654B" w:rsidRPr="0005654B" w:rsidRDefault="0005654B" w:rsidP="003275F1">
      <w:pPr>
        <w:tabs>
          <w:tab w:val="left" w:pos="851"/>
          <w:tab w:val="left" w:pos="1418"/>
        </w:tabs>
        <w:rPr>
          <w:rFonts w:ascii="Arial" w:hAnsi="Arial" w:cs="Arial"/>
          <w:b/>
          <w:bCs/>
          <w:color w:val="000000"/>
          <w:sz w:val="22"/>
          <w:u w:val="single"/>
        </w:rPr>
      </w:pPr>
      <w:r w:rsidRPr="0005654B">
        <w:rPr>
          <w:rFonts w:ascii="Arial" w:hAnsi="Arial" w:cs="Arial"/>
          <w:b/>
          <w:bCs/>
          <w:color w:val="000000"/>
          <w:sz w:val="22"/>
          <w:u w:val="single"/>
        </w:rPr>
        <w:t>Conclusion</w:t>
      </w:r>
    </w:p>
    <w:p w14:paraId="08FCA675" w14:textId="12D58763" w:rsidR="0005654B" w:rsidRDefault="0005654B" w:rsidP="003275F1">
      <w:pPr>
        <w:tabs>
          <w:tab w:val="left" w:pos="851"/>
          <w:tab w:val="left" w:pos="1418"/>
        </w:tabs>
        <w:rPr>
          <w:rFonts w:ascii="Arial" w:hAnsi="Arial" w:cs="Arial"/>
          <w:bCs/>
          <w:color w:val="000000"/>
          <w:sz w:val="22"/>
        </w:rPr>
      </w:pPr>
      <w:r>
        <w:rPr>
          <w:rFonts w:ascii="Arial" w:hAnsi="Arial" w:cs="Arial"/>
          <w:bCs/>
          <w:color w:val="000000"/>
          <w:sz w:val="22"/>
        </w:rPr>
        <w:t>L’impact financier de l’option d’après les débits est donc négligeable. Elle peut néanmoins être intéressante car elle permet de simplifier le processus de gestion de la TVA (économie sur les coût</w:t>
      </w:r>
      <w:r w:rsidR="006E30FD">
        <w:rPr>
          <w:rFonts w:ascii="Arial" w:hAnsi="Arial" w:cs="Arial"/>
          <w:bCs/>
          <w:color w:val="000000"/>
          <w:sz w:val="22"/>
        </w:rPr>
        <w:t>s</w:t>
      </w:r>
      <w:r>
        <w:rPr>
          <w:rFonts w:ascii="Arial" w:hAnsi="Arial" w:cs="Arial"/>
          <w:bCs/>
          <w:color w:val="000000"/>
          <w:sz w:val="22"/>
        </w:rPr>
        <w:t xml:space="preserve"> cachés de gestion). </w:t>
      </w:r>
    </w:p>
    <w:p w14:paraId="59D4E51D" w14:textId="34BB7013" w:rsidR="006649C4" w:rsidRDefault="006649C4">
      <w:pPr>
        <w:jc w:val="left"/>
        <w:rPr>
          <w:rFonts w:ascii="Arial" w:hAnsi="Arial" w:cs="Arial"/>
          <w:bCs/>
          <w:color w:val="000000"/>
          <w:sz w:val="22"/>
        </w:rPr>
      </w:pPr>
      <w:r>
        <w:rPr>
          <w:rFonts w:ascii="Arial" w:hAnsi="Arial" w:cs="Arial"/>
          <w:bCs/>
          <w:color w:val="000000"/>
          <w:sz w:val="22"/>
        </w:rPr>
        <w:br w:type="page"/>
      </w:r>
    </w:p>
    <w:p w14:paraId="525186AD" w14:textId="2079791D" w:rsidR="007A7185" w:rsidRPr="00426536" w:rsidRDefault="006649C4" w:rsidP="00876257">
      <w:pPr>
        <w:jc w:val="left"/>
        <w:rPr>
          <w:rFonts w:ascii="Arial" w:hAnsi="Arial" w:cs="Arial"/>
          <w:b/>
          <w:sz w:val="22"/>
        </w:rPr>
      </w:pPr>
      <w:r w:rsidRPr="00426536">
        <w:rPr>
          <w:rFonts w:ascii="Arial" w:hAnsi="Arial" w:cs="Arial"/>
          <w:b/>
          <w:sz w:val="22"/>
        </w:rPr>
        <w:lastRenderedPageBreak/>
        <w:t>2</w:t>
      </w:r>
      <w:r w:rsidRPr="00426536">
        <w:rPr>
          <w:rFonts w:ascii="Arial" w:hAnsi="Arial" w:cs="Arial"/>
          <w:b/>
          <w:sz w:val="22"/>
          <w:vertAlign w:val="superscript"/>
        </w:rPr>
        <w:t>ème</w:t>
      </w:r>
      <w:r w:rsidRPr="00426536">
        <w:rPr>
          <w:rFonts w:ascii="Arial" w:hAnsi="Arial" w:cs="Arial"/>
          <w:b/>
          <w:sz w:val="22"/>
        </w:rPr>
        <w:t xml:space="preserve"> Mission</w:t>
      </w:r>
      <w:r w:rsidR="00876257" w:rsidRPr="00426536">
        <w:rPr>
          <w:rFonts w:ascii="Arial" w:hAnsi="Arial" w:cs="Arial"/>
          <w:b/>
          <w:sz w:val="22"/>
        </w:rPr>
        <w:t> :</w:t>
      </w:r>
      <w:r w:rsidR="007A7185" w:rsidRPr="00426536">
        <w:rPr>
          <w:rFonts w:ascii="Arial" w:hAnsi="Arial" w:cs="Arial"/>
          <w:b/>
          <w:sz w:val="22"/>
        </w:rPr>
        <w:t> </w:t>
      </w:r>
      <w:r w:rsidR="00876257" w:rsidRPr="00426536">
        <w:rPr>
          <w:rFonts w:ascii="Arial" w:hAnsi="Arial" w:cs="Arial"/>
          <w:b/>
          <w:sz w:val="22"/>
        </w:rPr>
        <w:t>o</w:t>
      </w:r>
      <w:r w:rsidR="007A7185" w:rsidRPr="00426536">
        <w:rPr>
          <w:rFonts w:ascii="Arial" w:hAnsi="Arial" w:cs="Arial"/>
          <w:b/>
          <w:sz w:val="22"/>
        </w:rPr>
        <w:t>pération relative à la cession d’un local commercial</w:t>
      </w:r>
      <w:r w:rsidR="00876257" w:rsidRPr="00426536">
        <w:rPr>
          <w:rFonts w:ascii="Arial" w:hAnsi="Arial" w:cs="Arial"/>
          <w:b/>
          <w:sz w:val="22"/>
        </w:rPr>
        <w:t>.</w:t>
      </w:r>
    </w:p>
    <w:p w14:paraId="4D2EE868" w14:textId="42746571" w:rsidR="007A7185" w:rsidRDefault="007A7185" w:rsidP="007A7185">
      <w:pPr>
        <w:jc w:val="center"/>
        <w:rPr>
          <w:rFonts w:ascii="Arial" w:hAnsi="Arial" w:cs="Arial"/>
          <w:color w:val="FF0000"/>
        </w:rPr>
      </w:pPr>
    </w:p>
    <w:p w14:paraId="02AFD121" w14:textId="2133C5B6" w:rsidR="007B3993" w:rsidRDefault="007B3993" w:rsidP="007A7185">
      <w:pPr>
        <w:jc w:val="center"/>
        <w:rPr>
          <w:rFonts w:ascii="Arial" w:hAnsi="Arial" w:cs="Arial"/>
          <w:color w:val="FF0000"/>
        </w:rPr>
      </w:pPr>
    </w:p>
    <w:p w14:paraId="4631AB8C" w14:textId="5E343010" w:rsidR="007B3993" w:rsidRPr="006649C4" w:rsidRDefault="007B3993" w:rsidP="006649C4">
      <w:pPr>
        <w:pStyle w:val="Paragraphedeliste"/>
        <w:numPr>
          <w:ilvl w:val="1"/>
          <w:numId w:val="21"/>
        </w:numPr>
        <w:spacing w:after="120" w:line="276" w:lineRule="auto"/>
        <w:jc w:val="both"/>
        <w:rPr>
          <w:rFonts w:ascii="Arial" w:hAnsi="Arial" w:cs="Arial"/>
          <w:b/>
        </w:rPr>
      </w:pPr>
      <w:r w:rsidRPr="006649C4">
        <w:rPr>
          <w:rFonts w:ascii="Arial" w:hAnsi="Arial" w:cs="Arial"/>
          <w:b/>
        </w:rPr>
        <w:t>Analyse</w:t>
      </w:r>
      <w:r w:rsidR="006649C4">
        <w:rPr>
          <w:rFonts w:ascii="Arial" w:hAnsi="Arial" w:cs="Arial"/>
          <w:b/>
        </w:rPr>
        <w:t>r</w:t>
      </w:r>
      <w:r w:rsidRPr="006649C4">
        <w:rPr>
          <w:rFonts w:ascii="Arial" w:hAnsi="Arial" w:cs="Arial"/>
          <w:b/>
        </w:rPr>
        <w:t xml:space="preserve"> les conséquences de la cession de ce local commercial en matière de TVA et de droit</w:t>
      </w:r>
      <w:r w:rsidR="00C200AD" w:rsidRPr="006649C4">
        <w:rPr>
          <w:rFonts w:ascii="Arial" w:hAnsi="Arial" w:cs="Arial"/>
          <w:b/>
        </w:rPr>
        <w:t>s</w:t>
      </w:r>
      <w:r w:rsidRPr="006649C4">
        <w:rPr>
          <w:rFonts w:ascii="Arial" w:hAnsi="Arial" w:cs="Arial"/>
          <w:b/>
        </w:rPr>
        <w:t xml:space="preserve"> d’enregistrement en</w:t>
      </w:r>
      <w:r w:rsidR="006649C4">
        <w:rPr>
          <w:rFonts w:ascii="Arial" w:hAnsi="Arial" w:cs="Arial"/>
          <w:b/>
        </w:rPr>
        <w:t xml:space="preserve"> fonction du régime choisi par </w:t>
      </w:r>
      <w:r w:rsidRPr="006649C4">
        <w:rPr>
          <w:rFonts w:ascii="Arial" w:hAnsi="Arial" w:cs="Arial"/>
          <w:b/>
        </w:rPr>
        <w:t xml:space="preserve">le cédant et </w:t>
      </w:r>
      <w:r w:rsidR="006649C4">
        <w:rPr>
          <w:rFonts w:ascii="Arial" w:hAnsi="Arial" w:cs="Arial"/>
          <w:b/>
        </w:rPr>
        <w:t xml:space="preserve">par </w:t>
      </w:r>
      <w:r w:rsidRPr="006649C4">
        <w:rPr>
          <w:rFonts w:ascii="Arial" w:hAnsi="Arial" w:cs="Arial"/>
          <w:b/>
        </w:rPr>
        <w:t xml:space="preserve">le cessionnaire. </w:t>
      </w:r>
    </w:p>
    <w:p w14:paraId="1F2DDEAA" w14:textId="38997DFD" w:rsidR="00890544" w:rsidRPr="006649C4" w:rsidRDefault="00890544" w:rsidP="00C473DA">
      <w:pPr>
        <w:tabs>
          <w:tab w:val="left" w:pos="851"/>
          <w:tab w:val="left" w:pos="1418"/>
        </w:tabs>
        <w:rPr>
          <w:rFonts w:ascii="Arial" w:hAnsi="Arial" w:cs="Arial"/>
          <w:b/>
          <w:bCs/>
          <w:color w:val="000000"/>
          <w:sz w:val="22"/>
          <w:u w:val="single"/>
        </w:rPr>
      </w:pPr>
      <w:r w:rsidRPr="006649C4">
        <w:rPr>
          <w:rFonts w:ascii="Arial" w:hAnsi="Arial" w:cs="Arial"/>
          <w:b/>
          <w:bCs/>
          <w:color w:val="000000"/>
          <w:sz w:val="22"/>
          <w:u w:val="single"/>
        </w:rPr>
        <w:t>Principe</w:t>
      </w:r>
      <w:r w:rsidR="00890089">
        <w:rPr>
          <w:rFonts w:ascii="Arial" w:hAnsi="Arial" w:cs="Arial"/>
          <w:b/>
          <w:bCs/>
          <w:color w:val="000000"/>
          <w:sz w:val="22"/>
          <w:u w:val="single"/>
        </w:rPr>
        <w:t xml:space="preserve"> </w:t>
      </w:r>
    </w:p>
    <w:p w14:paraId="2F1E76B3" w14:textId="6BA5FC79" w:rsidR="00753F4A" w:rsidRPr="006649C4" w:rsidRDefault="00C200AD" w:rsidP="00753F4A">
      <w:pPr>
        <w:tabs>
          <w:tab w:val="left" w:pos="851"/>
          <w:tab w:val="left" w:pos="1418"/>
        </w:tabs>
        <w:rPr>
          <w:rFonts w:ascii="Arial" w:hAnsi="Arial" w:cs="Arial"/>
          <w:bCs/>
          <w:color w:val="000000"/>
          <w:sz w:val="22"/>
        </w:rPr>
      </w:pPr>
      <w:r w:rsidRPr="006649C4">
        <w:rPr>
          <w:rFonts w:ascii="Arial" w:hAnsi="Arial" w:cs="Arial"/>
          <w:bCs/>
          <w:color w:val="000000"/>
          <w:sz w:val="22"/>
        </w:rPr>
        <w:t xml:space="preserve">Les cessions d’immeubles de plus de 5 ans à compter de leur date d’achèvement sont exonérées de TVA et soumises aux droits d’enregistrement. </w:t>
      </w:r>
      <w:r w:rsidR="00753F4A" w:rsidRPr="006649C4">
        <w:rPr>
          <w:rFonts w:ascii="Arial" w:hAnsi="Arial" w:cs="Arial"/>
          <w:bCs/>
          <w:color w:val="000000"/>
          <w:sz w:val="22"/>
        </w:rPr>
        <w:t>Dans ce cas un reversement partiel de la TVA initialement déduite est à pratiquer si elle intervient dans un délai de 20 ans.</w:t>
      </w:r>
    </w:p>
    <w:p w14:paraId="71FD4023" w14:textId="0EB12512" w:rsidR="00C200AD" w:rsidRPr="006649C4" w:rsidRDefault="00C200AD" w:rsidP="00C200AD">
      <w:pPr>
        <w:tabs>
          <w:tab w:val="left" w:pos="851"/>
          <w:tab w:val="left" w:pos="1418"/>
        </w:tabs>
        <w:rPr>
          <w:rFonts w:ascii="Arial" w:hAnsi="Arial" w:cs="Arial"/>
          <w:bCs/>
          <w:color w:val="000000"/>
          <w:sz w:val="22"/>
        </w:rPr>
      </w:pPr>
    </w:p>
    <w:p w14:paraId="3CE7ECAB" w14:textId="62C80471" w:rsidR="00C473DA" w:rsidRPr="006649C4" w:rsidRDefault="00C473DA" w:rsidP="00C200AD">
      <w:pPr>
        <w:tabs>
          <w:tab w:val="left" w:pos="851"/>
          <w:tab w:val="left" w:pos="1418"/>
        </w:tabs>
        <w:rPr>
          <w:rFonts w:ascii="Arial" w:hAnsi="Arial" w:cs="Arial"/>
          <w:b/>
          <w:bCs/>
          <w:color w:val="000000"/>
          <w:sz w:val="22"/>
          <w:u w:val="single"/>
        </w:rPr>
      </w:pPr>
      <w:r w:rsidRPr="006649C4">
        <w:rPr>
          <w:rFonts w:ascii="Arial" w:hAnsi="Arial" w:cs="Arial"/>
          <w:b/>
          <w:bCs/>
          <w:color w:val="000000"/>
          <w:sz w:val="22"/>
          <w:u w:val="single"/>
        </w:rPr>
        <w:t>Exception</w:t>
      </w:r>
    </w:p>
    <w:p w14:paraId="720A7929" w14:textId="222DC724" w:rsidR="00C200AD" w:rsidRPr="006649C4" w:rsidRDefault="00C200AD" w:rsidP="00C200AD">
      <w:pPr>
        <w:tabs>
          <w:tab w:val="left" w:pos="851"/>
          <w:tab w:val="left" w:pos="1418"/>
        </w:tabs>
        <w:rPr>
          <w:rFonts w:ascii="Arial" w:hAnsi="Arial" w:cs="Arial"/>
          <w:bCs/>
          <w:color w:val="000000"/>
          <w:sz w:val="22"/>
        </w:rPr>
      </w:pPr>
      <w:r w:rsidRPr="006649C4">
        <w:rPr>
          <w:rFonts w:ascii="Arial" w:hAnsi="Arial" w:cs="Arial"/>
          <w:bCs/>
          <w:color w:val="000000"/>
          <w:sz w:val="22"/>
        </w:rPr>
        <w:t>Cependant, le cédant peut opter pour l’assujettissement de la cession à la TVA.</w:t>
      </w:r>
      <w:r w:rsidR="00753F4A" w:rsidRPr="006649C4">
        <w:rPr>
          <w:rFonts w:ascii="Arial" w:hAnsi="Arial" w:cs="Arial"/>
          <w:bCs/>
          <w:color w:val="000000"/>
          <w:sz w:val="22"/>
        </w:rPr>
        <w:t xml:space="preserve"> Dans ce cas aucune régularisation n’est à opérer.</w:t>
      </w:r>
    </w:p>
    <w:p w14:paraId="057B1C0F" w14:textId="4BB440FA" w:rsidR="00C200AD" w:rsidRPr="006649C4" w:rsidRDefault="00C200AD" w:rsidP="00C200AD">
      <w:pPr>
        <w:tabs>
          <w:tab w:val="left" w:pos="851"/>
          <w:tab w:val="left" w:pos="1418"/>
        </w:tabs>
        <w:rPr>
          <w:rFonts w:ascii="Arial" w:hAnsi="Arial" w:cs="Arial"/>
          <w:bCs/>
          <w:color w:val="000000"/>
          <w:sz w:val="22"/>
        </w:rPr>
      </w:pPr>
    </w:p>
    <w:p w14:paraId="585F519E" w14:textId="77777777" w:rsidR="00FC668A" w:rsidRPr="0005654B" w:rsidRDefault="00FC668A" w:rsidP="00FC668A">
      <w:pPr>
        <w:tabs>
          <w:tab w:val="left" w:pos="851"/>
          <w:tab w:val="left" w:pos="1418"/>
        </w:tabs>
        <w:rPr>
          <w:rFonts w:ascii="Arial" w:hAnsi="Arial" w:cs="Arial"/>
          <w:b/>
          <w:bCs/>
          <w:color w:val="000000"/>
          <w:sz w:val="22"/>
          <w:u w:val="single"/>
        </w:rPr>
      </w:pPr>
      <w:r w:rsidRPr="0005654B">
        <w:rPr>
          <w:rFonts w:ascii="Arial" w:hAnsi="Arial" w:cs="Arial"/>
          <w:b/>
          <w:bCs/>
          <w:color w:val="000000"/>
          <w:sz w:val="22"/>
          <w:u w:val="single"/>
        </w:rPr>
        <w:t xml:space="preserve">Application </w:t>
      </w:r>
    </w:p>
    <w:p w14:paraId="5D2D8D83" w14:textId="77777777" w:rsidR="00C200AD" w:rsidRPr="00890544" w:rsidRDefault="00C200AD" w:rsidP="00C200AD">
      <w:pPr>
        <w:tabs>
          <w:tab w:val="left" w:pos="851"/>
          <w:tab w:val="left" w:pos="1418"/>
        </w:tabs>
        <w:rPr>
          <w:rFonts w:ascii="Arial" w:hAnsi="Arial" w:cs="Arial"/>
          <w:bCs/>
          <w:color w:val="000000"/>
          <w:sz w:val="22"/>
        </w:rPr>
      </w:pPr>
    </w:p>
    <w:tbl>
      <w:tblPr>
        <w:tblStyle w:val="Grilledutableau"/>
        <w:tblW w:w="0" w:type="auto"/>
        <w:jc w:val="center"/>
        <w:tblLook w:val="04A0" w:firstRow="1" w:lastRow="0" w:firstColumn="1" w:lastColumn="0" w:noHBand="0" w:noVBand="1"/>
      </w:tblPr>
      <w:tblGrid>
        <w:gridCol w:w="2013"/>
        <w:gridCol w:w="3285"/>
        <w:gridCol w:w="3285"/>
      </w:tblGrid>
      <w:tr w:rsidR="00C200AD" w14:paraId="3440F196" w14:textId="77777777" w:rsidTr="00C54179">
        <w:trPr>
          <w:jc w:val="center"/>
        </w:trPr>
        <w:tc>
          <w:tcPr>
            <w:tcW w:w="2013" w:type="dxa"/>
          </w:tcPr>
          <w:p w14:paraId="0F3DE301" w14:textId="77777777" w:rsidR="00C200AD" w:rsidRDefault="00C200AD" w:rsidP="00C200AD">
            <w:pPr>
              <w:tabs>
                <w:tab w:val="left" w:pos="851"/>
                <w:tab w:val="left" w:pos="1418"/>
              </w:tabs>
              <w:jc w:val="center"/>
              <w:rPr>
                <w:rFonts w:ascii="Arial" w:hAnsi="Arial" w:cs="Arial"/>
                <w:b/>
                <w:bCs/>
                <w:color w:val="000000"/>
                <w:sz w:val="22"/>
              </w:rPr>
            </w:pPr>
          </w:p>
        </w:tc>
        <w:tc>
          <w:tcPr>
            <w:tcW w:w="3285" w:type="dxa"/>
          </w:tcPr>
          <w:p w14:paraId="543A47FF" w14:textId="4892D535" w:rsidR="00C200AD" w:rsidRDefault="00C200AD" w:rsidP="00C200AD">
            <w:pPr>
              <w:tabs>
                <w:tab w:val="left" w:pos="851"/>
                <w:tab w:val="left" w:pos="1418"/>
              </w:tabs>
              <w:jc w:val="center"/>
              <w:rPr>
                <w:rFonts w:ascii="Arial" w:hAnsi="Arial" w:cs="Arial"/>
                <w:b/>
                <w:bCs/>
                <w:color w:val="000000"/>
                <w:sz w:val="22"/>
              </w:rPr>
            </w:pPr>
            <w:r>
              <w:rPr>
                <w:rFonts w:ascii="Arial" w:hAnsi="Arial" w:cs="Arial"/>
                <w:b/>
                <w:bCs/>
                <w:color w:val="000000"/>
                <w:sz w:val="22"/>
              </w:rPr>
              <w:t>Régime de droit commun</w:t>
            </w:r>
          </w:p>
        </w:tc>
        <w:tc>
          <w:tcPr>
            <w:tcW w:w="3285" w:type="dxa"/>
          </w:tcPr>
          <w:p w14:paraId="5AE8E909" w14:textId="1B033C62" w:rsidR="00C200AD" w:rsidRDefault="00C200AD" w:rsidP="00C200AD">
            <w:pPr>
              <w:tabs>
                <w:tab w:val="left" w:pos="851"/>
                <w:tab w:val="left" w:pos="1418"/>
              </w:tabs>
              <w:jc w:val="center"/>
              <w:rPr>
                <w:rFonts w:ascii="Arial" w:hAnsi="Arial" w:cs="Arial"/>
                <w:b/>
                <w:bCs/>
                <w:color w:val="000000"/>
                <w:sz w:val="22"/>
              </w:rPr>
            </w:pPr>
            <w:r>
              <w:rPr>
                <w:rFonts w:ascii="Arial" w:hAnsi="Arial" w:cs="Arial"/>
                <w:b/>
                <w:bCs/>
                <w:color w:val="000000"/>
                <w:sz w:val="22"/>
              </w:rPr>
              <w:t>Option pour la TVA</w:t>
            </w:r>
          </w:p>
        </w:tc>
      </w:tr>
      <w:tr w:rsidR="00C200AD" w14:paraId="5F560B04" w14:textId="77777777" w:rsidTr="00C54179">
        <w:trPr>
          <w:jc w:val="center"/>
        </w:trPr>
        <w:tc>
          <w:tcPr>
            <w:tcW w:w="2013" w:type="dxa"/>
            <w:vAlign w:val="center"/>
          </w:tcPr>
          <w:p w14:paraId="3A80CFE0" w14:textId="3E7DF9EB" w:rsidR="00C200AD" w:rsidRDefault="00C200AD" w:rsidP="00C200AD">
            <w:pPr>
              <w:tabs>
                <w:tab w:val="left" w:pos="851"/>
                <w:tab w:val="left" w:pos="1418"/>
              </w:tabs>
              <w:jc w:val="center"/>
              <w:rPr>
                <w:rFonts w:ascii="Arial" w:hAnsi="Arial" w:cs="Arial"/>
                <w:b/>
                <w:bCs/>
                <w:color w:val="000000"/>
                <w:sz w:val="22"/>
              </w:rPr>
            </w:pPr>
            <w:r>
              <w:rPr>
                <w:rFonts w:ascii="Arial" w:hAnsi="Arial" w:cs="Arial"/>
                <w:b/>
                <w:bCs/>
                <w:color w:val="000000"/>
                <w:sz w:val="22"/>
              </w:rPr>
              <w:t>Cédant</w:t>
            </w:r>
          </w:p>
        </w:tc>
        <w:tc>
          <w:tcPr>
            <w:tcW w:w="3285" w:type="dxa"/>
          </w:tcPr>
          <w:p w14:paraId="5C49AF98" w14:textId="77777777" w:rsidR="00C473DA" w:rsidRDefault="00753F4A" w:rsidP="00C473DA">
            <w:pPr>
              <w:tabs>
                <w:tab w:val="left" w:pos="851"/>
                <w:tab w:val="left" w:pos="1418"/>
              </w:tabs>
              <w:rPr>
                <w:rFonts w:ascii="Arial" w:hAnsi="Arial" w:cs="Arial"/>
                <w:bCs/>
                <w:color w:val="000000"/>
                <w:sz w:val="22"/>
              </w:rPr>
            </w:pPr>
            <w:r>
              <w:rPr>
                <w:rFonts w:ascii="Arial" w:hAnsi="Arial" w:cs="Arial"/>
                <w:bCs/>
                <w:color w:val="000000"/>
                <w:sz w:val="22"/>
              </w:rPr>
              <w:t>Opération exonérée de TVA</w:t>
            </w:r>
            <w:r w:rsidR="00C473DA">
              <w:rPr>
                <w:rFonts w:ascii="Arial" w:hAnsi="Arial" w:cs="Arial"/>
                <w:bCs/>
                <w:color w:val="000000"/>
                <w:sz w:val="22"/>
              </w:rPr>
              <w:t xml:space="preserve"> car l’immeuble a plus de 5 ans depuis la date d’achèvement. </w:t>
            </w:r>
          </w:p>
          <w:p w14:paraId="4C9B1A89" w14:textId="647B4362" w:rsidR="00C200AD" w:rsidRDefault="00C473DA" w:rsidP="00C473DA">
            <w:pPr>
              <w:tabs>
                <w:tab w:val="left" w:pos="851"/>
                <w:tab w:val="left" w:pos="1418"/>
              </w:tabs>
              <w:rPr>
                <w:rFonts w:ascii="Arial" w:hAnsi="Arial" w:cs="Arial"/>
                <w:bCs/>
                <w:color w:val="000000"/>
                <w:sz w:val="22"/>
              </w:rPr>
            </w:pPr>
            <w:r>
              <w:rPr>
                <w:rFonts w:ascii="Arial" w:hAnsi="Arial" w:cs="Arial"/>
                <w:bCs/>
                <w:color w:val="000000"/>
                <w:sz w:val="22"/>
              </w:rPr>
              <w:t>Il convient donc de procéder à un reversement de TVA :</w:t>
            </w:r>
          </w:p>
          <w:p w14:paraId="7AB389AE" w14:textId="642BF6FE" w:rsidR="00C473DA" w:rsidRPr="00C200AD" w:rsidRDefault="00C473DA" w:rsidP="00523A16">
            <w:pPr>
              <w:tabs>
                <w:tab w:val="left" w:pos="851"/>
                <w:tab w:val="left" w:pos="1418"/>
              </w:tabs>
              <w:rPr>
                <w:rFonts w:ascii="Arial" w:hAnsi="Arial" w:cs="Arial"/>
                <w:bCs/>
                <w:color w:val="000000"/>
                <w:sz w:val="22"/>
              </w:rPr>
            </w:pPr>
            <w:r>
              <w:rPr>
                <w:rFonts w:ascii="Arial" w:hAnsi="Arial" w:cs="Arial"/>
                <w:bCs/>
                <w:color w:val="000000"/>
                <w:sz w:val="22"/>
              </w:rPr>
              <w:t>100 000 x 20</w:t>
            </w:r>
            <w:r w:rsidR="006649C4">
              <w:rPr>
                <w:rFonts w:ascii="Arial" w:hAnsi="Arial" w:cs="Arial"/>
                <w:bCs/>
                <w:color w:val="000000"/>
                <w:sz w:val="22"/>
              </w:rPr>
              <w:t xml:space="preserve"> </w:t>
            </w:r>
            <w:r>
              <w:rPr>
                <w:rFonts w:ascii="Arial" w:hAnsi="Arial" w:cs="Arial"/>
                <w:bCs/>
                <w:color w:val="000000"/>
                <w:sz w:val="22"/>
              </w:rPr>
              <w:t>% </w:t>
            </w:r>
            <w:r w:rsidR="00523A16">
              <w:rPr>
                <w:rFonts w:ascii="Arial" w:hAnsi="Arial" w:cs="Arial"/>
                <w:bCs/>
                <w:color w:val="000000"/>
                <w:sz w:val="22"/>
              </w:rPr>
              <w:t>x 12/20 = 12</w:t>
            </w:r>
            <w:r w:rsidR="006649C4">
              <w:rPr>
                <w:rFonts w:ascii="Arial" w:hAnsi="Arial" w:cs="Arial"/>
                <w:bCs/>
                <w:color w:val="000000"/>
                <w:sz w:val="22"/>
              </w:rPr>
              <w:t> </w:t>
            </w:r>
            <w:r>
              <w:rPr>
                <w:rFonts w:ascii="Arial" w:hAnsi="Arial" w:cs="Arial"/>
                <w:bCs/>
                <w:color w:val="000000"/>
                <w:sz w:val="22"/>
              </w:rPr>
              <w:t>000</w:t>
            </w:r>
            <w:r w:rsidR="006649C4">
              <w:rPr>
                <w:rFonts w:ascii="Arial" w:hAnsi="Arial" w:cs="Arial"/>
                <w:bCs/>
                <w:color w:val="000000"/>
                <w:sz w:val="22"/>
              </w:rPr>
              <w:t xml:space="preserve"> </w:t>
            </w:r>
            <w:r>
              <w:rPr>
                <w:rFonts w:ascii="Arial" w:hAnsi="Arial" w:cs="Arial"/>
                <w:bCs/>
                <w:color w:val="000000"/>
                <w:sz w:val="22"/>
              </w:rPr>
              <w:t>€</w:t>
            </w:r>
            <w:r w:rsidR="00890089">
              <w:rPr>
                <w:rFonts w:ascii="Arial" w:hAnsi="Arial" w:cs="Arial"/>
                <w:bCs/>
                <w:color w:val="000000"/>
                <w:sz w:val="22"/>
              </w:rPr>
              <w:t xml:space="preserve"> </w:t>
            </w:r>
          </w:p>
        </w:tc>
        <w:tc>
          <w:tcPr>
            <w:tcW w:w="3285" w:type="dxa"/>
          </w:tcPr>
          <w:p w14:paraId="0ECBCCDA" w14:textId="77777777" w:rsidR="006649C4" w:rsidRDefault="00C473DA" w:rsidP="00C473DA">
            <w:pPr>
              <w:tabs>
                <w:tab w:val="left" w:pos="851"/>
                <w:tab w:val="left" w:pos="1418"/>
              </w:tabs>
              <w:rPr>
                <w:rFonts w:ascii="Arial" w:hAnsi="Arial" w:cs="Arial"/>
                <w:bCs/>
                <w:color w:val="000000"/>
                <w:sz w:val="22"/>
              </w:rPr>
            </w:pPr>
            <w:r>
              <w:rPr>
                <w:rFonts w:ascii="Arial" w:hAnsi="Arial" w:cs="Arial"/>
                <w:bCs/>
                <w:color w:val="000000"/>
                <w:sz w:val="22"/>
              </w:rPr>
              <w:t xml:space="preserve">Opération soumise à TVA : TVA collectée = </w:t>
            </w:r>
          </w:p>
          <w:p w14:paraId="7BCB425B" w14:textId="51DD46A9" w:rsidR="00C200AD" w:rsidRDefault="00C473DA" w:rsidP="00C473DA">
            <w:pPr>
              <w:tabs>
                <w:tab w:val="left" w:pos="851"/>
                <w:tab w:val="left" w:pos="1418"/>
              </w:tabs>
              <w:rPr>
                <w:rFonts w:ascii="Arial" w:hAnsi="Arial" w:cs="Arial"/>
                <w:bCs/>
                <w:color w:val="000000"/>
                <w:sz w:val="22"/>
              </w:rPr>
            </w:pPr>
            <w:r>
              <w:rPr>
                <w:rFonts w:ascii="Arial" w:hAnsi="Arial" w:cs="Arial"/>
                <w:bCs/>
                <w:color w:val="000000"/>
                <w:sz w:val="22"/>
              </w:rPr>
              <w:t xml:space="preserve">200 000 x </w:t>
            </w:r>
            <w:r w:rsidR="00AB406B">
              <w:rPr>
                <w:rFonts w:ascii="Arial" w:hAnsi="Arial" w:cs="Arial"/>
                <w:bCs/>
                <w:color w:val="000000"/>
                <w:sz w:val="22"/>
              </w:rPr>
              <w:t>20 %</w:t>
            </w:r>
            <w:r>
              <w:rPr>
                <w:rFonts w:ascii="Arial" w:hAnsi="Arial" w:cs="Arial"/>
                <w:bCs/>
                <w:color w:val="000000"/>
                <w:sz w:val="22"/>
              </w:rPr>
              <w:t xml:space="preserve"> = 40 000 €</w:t>
            </w:r>
          </w:p>
          <w:p w14:paraId="54B5D916" w14:textId="69B25114" w:rsidR="00C473DA" w:rsidRPr="00C200AD" w:rsidRDefault="00C473DA" w:rsidP="00C473DA">
            <w:pPr>
              <w:tabs>
                <w:tab w:val="left" w:pos="851"/>
                <w:tab w:val="left" w:pos="1418"/>
              </w:tabs>
              <w:rPr>
                <w:rFonts w:ascii="Arial" w:hAnsi="Arial" w:cs="Arial"/>
                <w:bCs/>
                <w:color w:val="000000"/>
                <w:sz w:val="22"/>
              </w:rPr>
            </w:pPr>
            <w:r>
              <w:rPr>
                <w:rFonts w:ascii="Arial" w:hAnsi="Arial" w:cs="Arial"/>
                <w:bCs/>
                <w:color w:val="000000"/>
                <w:sz w:val="22"/>
              </w:rPr>
              <w:t>Aucune régularisation n’est à opérer.</w:t>
            </w:r>
            <w:r w:rsidR="00890089">
              <w:rPr>
                <w:rFonts w:ascii="Arial" w:hAnsi="Arial" w:cs="Arial"/>
                <w:bCs/>
                <w:color w:val="000000"/>
                <w:sz w:val="22"/>
              </w:rPr>
              <w:t xml:space="preserve"> </w:t>
            </w:r>
          </w:p>
        </w:tc>
      </w:tr>
      <w:tr w:rsidR="00C200AD" w14:paraId="6247984A" w14:textId="77777777" w:rsidTr="00C54179">
        <w:trPr>
          <w:jc w:val="center"/>
        </w:trPr>
        <w:tc>
          <w:tcPr>
            <w:tcW w:w="2013" w:type="dxa"/>
            <w:vAlign w:val="center"/>
          </w:tcPr>
          <w:p w14:paraId="02F1731F" w14:textId="29E56DAA" w:rsidR="00C200AD" w:rsidRDefault="00C200AD" w:rsidP="00C200AD">
            <w:pPr>
              <w:tabs>
                <w:tab w:val="left" w:pos="851"/>
                <w:tab w:val="left" w:pos="1418"/>
              </w:tabs>
              <w:jc w:val="center"/>
              <w:rPr>
                <w:rFonts w:ascii="Arial" w:hAnsi="Arial" w:cs="Arial"/>
                <w:b/>
                <w:bCs/>
                <w:color w:val="000000"/>
                <w:sz w:val="22"/>
              </w:rPr>
            </w:pPr>
            <w:r>
              <w:rPr>
                <w:rFonts w:ascii="Arial" w:hAnsi="Arial" w:cs="Arial"/>
                <w:b/>
                <w:bCs/>
                <w:color w:val="000000"/>
                <w:sz w:val="22"/>
              </w:rPr>
              <w:t>Cessionnaire</w:t>
            </w:r>
          </w:p>
        </w:tc>
        <w:tc>
          <w:tcPr>
            <w:tcW w:w="3285" w:type="dxa"/>
          </w:tcPr>
          <w:p w14:paraId="0852EE63" w14:textId="1E5A0CEC" w:rsidR="00E53C6D" w:rsidRDefault="00C473DA" w:rsidP="00C473DA">
            <w:pPr>
              <w:tabs>
                <w:tab w:val="left" w:pos="851"/>
                <w:tab w:val="left" w:pos="1418"/>
              </w:tabs>
              <w:rPr>
                <w:rFonts w:ascii="Arial" w:hAnsi="Arial" w:cs="Arial"/>
                <w:bCs/>
                <w:color w:val="000000"/>
                <w:sz w:val="22"/>
              </w:rPr>
            </w:pPr>
            <w:r>
              <w:rPr>
                <w:rFonts w:ascii="Arial" w:hAnsi="Arial" w:cs="Arial"/>
                <w:bCs/>
                <w:color w:val="000000"/>
                <w:sz w:val="22"/>
              </w:rPr>
              <w:t>Opération exonérée de TVA</w:t>
            </w:r>
            <w:r w:rsidR="00E53C6D">
              <w:rPr>
                <w:rFonts w:ascii="Arial" w:hAnsi="Arial" w:cs="Arial"/>
                <w:bCs/>
                <w:color w:val="000000"/>
                <w:sz w:val="22"/>
              </w:rPr>
              <w:t>.</w:t>
            </w:r>
            <w:r>
              <w:rPr>
                <w:rFonts w:ascii="Arial" w:hAnsi="Arial" w:cs="Arial"/>
                <w:bCs/>
                <w:color w:val="000000"/>
                <w:sz w:val="22"/>
              </w:rPr>
              <w:t xml:space="preserve"> </w:t>
            </w:r>
            <w:r w:rsidR="00E53C6D">
              <w:rPr>
                <w:rFonts w:ascii="Arial" w:hAnsi="Arial" w:cs="Arial"/>
                <w:bCs/>
                <w:color w:val="000000"/>
                <w:sz w:val="22"/>
              </w:rPr>
              <w:t xml:space="preserve"> Cependant le droit à déduction issu du reversement de TVA pratiqué par le cédant est définitivement perdu car l’activité du cessionnaire (infirmières) est exonérée de TVA.</w:t>
            </w:r>
            <w:r w:rsidR="00890089">
              <w:rPr>
                <w:rFonts w:ascii="Arial" w:hAnsi="Arial" w:cs="Arial"/>
                <w:bCs/>
                <w:color w:val="000000"/>
                <w:sz w:val="22"/>
              </w:rPr>
              <w:t xml:space="preserve"> </w:t>
            </w:r>
          </w:p>
          <w:p w14:paraId="13D8C545" w14:textId="77777777" w:rsidR="00E53C6D" w:rsidRDefault="00E53C6D" w:rsidP="00C473DA">
            <w:pPr>
              <w:tabs>
                <w:tab w:val="left" w:pos="851"/>
                <w:tab w:val="left" w:pos="1418"/>
              </w:tabs>
              <w:rPr>
                <w:rFonts w:ascii="Arial" w:hAnsi="Arial" w:cs="Arial"/>
                <w:bCs/>
                <w:color w:val="000000"/>
                <w:sz w:val="22"/>
              </w:rPr>
            </w:pPr>
          </w:p>
          <w:p w14:paraId="6EF52724" w14:textId="0C1A9C87" w:rsidR="00C473DA" w:rsidRDefault="00C473DA" w:rsidP="00C473DA">
            <w:pPr>
              <w:tabs>
                <w:tab w:val="left" w:pos="851"/>
                <w:tab w:val="left" w:pos="1418"/>
              </w:tabs>
              <w:rPr>
                <w:rFonts w:ascii="Arial" w:hAnsi="Arial" w:cs="Arial"/>
                <w:bCs/>
                <w:color w:val="000000"/>
                <w:sz w:val="22"/>
              </w:rPr>
            </w:pPr>
            <w:r>
              <w:rPr>
                <w:rFonts w:ascii="Arial" w:hAnsi="Arial" w:cs="Arial"/>
                <w:bCs/>
                <w:color w:val="000000"/>
                <w:sz w:val="22"/>
              </w:rPr>
              <w:t>Cependant le cessionnaire doit acquitter des droits d’enregistrement à hauteur de 5% du prix d’acquisition :</w:t>
            </w:r>
          </w:p>
          <w:p w14:paraId="03DA1780" w14:textId="6240C45C" w:rsidR="00E53C6D" w:rsidRPr="00C200AD" w:rsidRDefault="00523A16" w:rsidP="00523A16">
            <w:pPr>
              <w:tabs>
                <w:tab w:val="left" w:pos="851"/>
                <w:tab w:val="left" w:pos="1418"/>
              </w:tabs>
              <w:jc w:val="left"/>
              <w:rPr>
                <w:rFonts w:ascii="Arial" w:hAnsi="Arial" w:cs="Arial"/>
                <w:bCs/>
                <w:color w:val="000000"/>
                <w:sz w:val="22"/>
              </w:rPr>
            </w:pPr>
            <w:r>
              <w:rPr>
                <w:rFonts w:ascii="Arial" w:hAnsi="Arial" w:cs="Arial"/>
                <w:bCs/>
                <w:color w:val="000000"/>
                <w:sz w:val="22"/>
              </w:rPr>
              <w:t>200 000 x 5</w:t>
            </w:r>
            <w:r w:rsidR="00981093">
              <w:rPr>
                <w:rFonts w:ascii="Arial" w:hAnsi="Arial" w:cs="Arial"/>
                <w:bCs/>
                <w:color w:val="000000"/>
                <w:sz w:val="22"/>
              </w:rPr>
              <w:t xml:space="preserve"> </w:t>
            </w:r>
            <w:r>
              <w:rPr>
                <w:rFonts w:ascii="Arial" w:hAnsi="Arial" w:cs="Arial"/>
                <w:bCs/>
                <w:color w:val="000000"/>
                <w:sz w:val="22"/>
              </w:rPr>
              <w:t>% = 10 000 €</w:t>
            </w:r>
          </w:p>
        </w:tc>
        <w:tc>
          <w:tcPr>
            <w:tcW w:w="3285" w:type="dxa"/>
          </w:tcPr>
          <w:p w14:paraId="08D697B2" w14:textId="77777777" w:rsidR="00AF7478" w:rsidRDefault="00E53C6D" w:rsidP="00E53C6D">
            <w:pPr>
              <w:tabs>
                <w:tab w:val="left" w:pos="851"/>
                <w:tab w:val="left" w:pos="1418"/>
              </w:tabs>
              <w:rPr>
                <w:rFonts w:ascii="Arial" w:hAnsi="Arial" w:cs="Arial"/>
                <w:bCs/>
                <w:color w:val="000000"/>
                <w:sz w:val="22"/>
              </w:rPr>
            </w:pPr>
            <w:r>
              <w:rPr>
                <w:rFonts w:ascii="Arial" w:hAnsi="Arial" w:cs="Arial"/>
                <w:bCs/>
                <w:color w:val="000000"/>
                <w:sz w:val="22"/>
              </w:rPr>
              <w:t>Opération soumise à TVA pour un montant de</w:t>
            </w:r>
            <w:r w:rsidR="00AF7478">
              <w:rPr>
                <w:rFonts w:ascii="Arial" w:hAnsi="Arial" w:cs="Arial"/>
                <w:bCs/>
                <w:color w:val="000000"/>
                <w:sz w:val="22"/>
              </w:rPr>
              <w:t> :</w:t>
            </w:r>
          </w:p>
          <w:p w14:paraId="418FB9D4" w14:textId="62BF615E" w:rsidR="00890089" w:rsidRDefault="00981093" w:rsidP="00E53C6D">
            <w:pPr>
              <w:tabs>
                <w:tab w:val="left" w:pos="851"/>
                <w:tab w:val="left" w:pos="1418"/>
              </w:tabs>
              <w:rPr>
                <w:rFonts w:ascii="Arial" w:hAnsi="Arial" w:cs="Arial"/>
                <w:bCs/>
                <w:color w:val="000000"/>
                <w:sz w:val="22"/>
              </w:rPr>
            </w:pPr>
            <w:r>
              <w:rPr>
                <w:rFonts w:ascii="Arial" w:hAnsi="Arial" w:cs="Arial"/>
                <w:bCs/>
                <w:color w:val="000000"/>
                <w:sz w:val="22"/>
              </w:rPr>
              <w:t xml:space="preserve">200 000 </w:t>
            </w:r>
            <w:r w:rsidR="00E53C6D">
              <w:rPr>
                <w:rFonts w:ascii="Arial" w:hAnsi="Arial" w:cs="Arial"/>
                <w:bCs/>
                <w:color w:val="000000"/>
                <w:sz w:val="22"/>
              </w:rPr>
              <w:t>x</w:t>
            </w:r>
            <w:r w:rsidR="00AF7478">
              <w:rPr>
                <w:rFonts w:ascii="Arial" w:hAnsi="Arial" w:cs="Arial"/>
                <w:bCs/>
                <w:color w:val="000000"/>
                <w:sz w:val="22"/>
              </w:rPr>
              <w:t> </w:t>
            </w:r>
            <w:r w:rsidR="00E53C6D">
              <w:rPr>
                <w:rFonts w:ascii="Arial" w:hAnsi="Arial" w:cs="Arial"/>
                <w:bCs/>
                <w:color w:val="000000"/>
                <w:sz w:val="22"/>
              </w:rPr>
              <w:t>20</w:t>
            </w:r>
            <w:r w:rsidR="00AF7478">
              <w:rPr>
                <w:rFonts w:ascii="Arial" w:hAnsi="Arial" w:cs="Arial"/>
                <w:bCs/>
                <w:color w:val="000000"/>
                <w:sz w:val="22"/>
              </w:rPr>
              <w:t> </w:t>
            </w:r>
            <w:r w:rsidR="00E53C6D">
              <w:rPr>
                <w:rFonts w:ascii="Arial" w:hAnsi="Arial" w:cs="Arial"/>
                <w:bCs/>
                <w:color w:val="000000"/>
                <w:sz w:val="22"/>
              </w:rPr>
              <w:t xml:space="preserve">% = 40 000 €. </w:t>
            </w:r>
          </w:p>
          <w:p w14:paraId="6BC4C84C" w14:textId="443108D3" w:rsidR="00E53C6D" w:rsidRDefault="00E53C6D" w:rsidP="00E53C6D">
            <w:pPr>
              <w:tabs>
                <w:tab w:val="left" w:pos="851"/>
                <w:tab w:val="left" w:pos="1418"/>
              </w:tabs>
              <w:rPr>
                <w:rFonts w:ascii="Arial" w:hAnsi="Arial" w:cs="Arial"/>
                <w:bCs/>
                <w:color w:val="000000"/>
                <w:sz w:val="22"/>
              </w:rPr>
            </w:pPr>
            <w:r>
              <w:rPr>
                <w:rFonts w:ascii="Arial" w:hAnsi="Arial" w:cs="Arial"/>
                <w:bCs/>
                <w:color w:val="000000"/>
                <w:sz w:val="22"/>
              </w:rPr>
              <w:t>Cependant cette TVA n’est pas déductible car l’activité du cessionnaire (infirmières) est exonérée de TVA et n’ouvre donc pas droit à déduction.</w:t>
            </w:r>
          </w:p>
          <w:p w14:paraId="79A70D1A" w14:textId="172F664E" w:rsidR="00E53C6D" w:rsidRDefault="00E53C6D" w:rsidP="00E53C6D">
            <w:pPr>
              <w:tabs>
                <w:tab w:val="left" w:pos="851"/>
                <w:tab w:val="left" w:pos="1418"/>
              </w:tabs>
              <w:rPr>
                <w:rFonts w:ascii="Arial" w:hAnsi="Arial" w:cs="Arial"/>
                <w:bCs/>
                <w:color w:val="000000"/>
                <w:sz w:val="22"/>
              </w:rPr>
            </w:pPr>
          </w:p>
          <w:p w14:paraId="60C4358F" w14:textId="16AC46F1" w:rsidR="00C200AD" w:rsidRPr="00C200AD" w:rsidRDefault="00E53C6D" w:rsidP="00E53C6D">
            <w:pPr>
              <w:tabs>
                <w:tab w:val="left" w:pos="851"/>
                <w:tab w:val="left" w:pos="1418"/>
              </w:tabs>
              <w:rPr>
                <w:rFonts w:ascii="Arial" w:hAnsi="Arial" w:cs="Arial"/>
                <w:bCs/>
                <w:color w:val="000000"/>
                <w:sz w:val="22"/>
              </w:rPr>
            </w:pPr>
            <w:r>
              <w:rPr>
                <w:rFonts w:ascii="Arial" w:hAnsi="Arial" w:cs="Arial"/>
                <w:bCs/>
                <w:color w:val="000000"/>
                <w:sz w:val="22"/>
              </w:rPr>
              <w:t xml:space="preserve">Cette opération n’est pas soumise aux droits </w:t>
            </w:r>
            <w:r w:rsidR="00ED190A">
              <w:rPr>
                <w:rFonts w:ascii="Arial" w:hAnsi="Arial" w:cs="Arial"/>
                <w:bCs/>
                <w:color w:val="000000"/>
                <w:sz w:val="22"/>
              </w:rPr>
              <w:t xml:space="preserve">d’enregistrement. </w:t>
            </w:r>
          </w:p>
        </w:tc>
      </w:tr>
    </w:tbl>
    <w:p w14:paraId="61CD4264" w14:textId="580993D7" w:rsidR="00163AED" w:rsidRDefault="00163AED" w:rsidP="003275F1">
      <w:pPr>
        <w:tabs>
          <w:tab w:val="left" w:pos="851"/>
          <w:tab w:val="left" w:pos="1418"/>
        </w:tabs>
        <w:rPr>
          <w:rFonts w:ascii="Arial" w:hAnsi="Arial" w:cs="Arial"/>
          <w:b/>
          <w:bCs/>
          <w:color w:val="000000"/>
          <w:sz w:val="22"/>
        </w:rPr>
      </w:pPr>
    </w:p>
    <w:p w14:paraId="02797CD8" w14:textId="09E18702" w:rsidR="00163AED" w:rsidRDefault="00163AED" w:rsidP="003275F1">
      <w:pPr>
        <w:tabs>
          <w:tab w:val="left" w:pos="851"/>
          <w:tab w:val="left" w:pos="1418"/>
        </w:tabs>
        <w:rPr>
          <w:rFonts w:ascii="Arial" w:hAnsi="Arial" w:cs="Arial"/>
          <w:b/>
          <w:bCs/>
          <w:color w:val="000000"/>
          <w:sz w:val="22"/>
        </w:rPr>
      </w:pPr>
    </w:p>
    <w:p w14:paraId="395034CC" w14:textId="77777777" w:rsidR="00FC668A" w:rsidRPr="00FC668A" w:rsidRDefault="00FC668A" w:rsidP="003275F1">
      <w:pPr>
        <w:tabs>
          <w:tab w:val="left" w:pos="851"/>
          <w:tab w:val="left" w:pos="1418"/>
        </w:tabs>
        <w:rPr>
          <w:rFonts w:ascii="Arial" w:hAnsi="Arial" w:cs="Arial"/>
          <w:b/>
          <w:bCs/>
          <w:color w:val="000000"/>
          <w:sz w:val="22"/>
          <w:u w:val="single"/>
        </w:rPr>
      </w:pPr>
      <w:r w:rsidRPr="00FC668A">
        <w:rPr>
          <w:rFonts w:ascii="Arial" w:hAnsi="Arial" w:cs="Arial"/>
          <w:b/>
          <w:bCs/>
          <w:color w:val="000000"/>
          <w:sz w:val="22"/>
          <w:u w:val="single"/>
        </w:rPr>
        <w:t>Conclusion</w:t>
      </w:r>
    </w:p>
    <w:p w14:paraId="2C04FBC5" w14:textId="1D6DFE81" w:rsidR="00163AED" w:rsidRDefault="00FC668A" w:rsidP="003275F1">
      <w:pPr>
        <w:tabs>
          <w:tab w:val="left" w:pos="851"/>
          <w:tab w:val="left" w:pos="1418"/>
        </w:tabs>
        <w:rPr>
          <w:rFonts w:ascii="Arial" w:hAnsi="Arial" w:cs="Arial"/>
          <w:bCs/>
          <w:color w:val="000000"/>
          <w:sz w:val="22"/>
        </w:rPr>
      </w:pPr>
      <w:r w:rsidRPr="00FC668A">
        <w:rPr>
          <w:rFonts w:ascii="Arial" w:hAnsi="Arial" w:cs="Arial"/>
          <w:bCs/>
          <w:color w:val="000000"/>
          <w:sz w:val="22"/>
        </w:rPr>
        <w:t xml:space="preserve">Le cédant a intérêt à poser l’option pour la soumission de la cession à la TVA </w:t>
      </w:r>
      <w:r>
        <w:rPr>
          <w:rFonts w:ascii="Arial" w:hAnsi="Arial" w:cs="Arial"/>
          <w:bCs/>
          <w:color w:val="000000"/>
          <w:sz w:val="22"/>
        </w:rPr>
        <w:t>car il évite ainsi le reversement de la régularisation de TVA de 12 000 €.</w:t>
      </w:r>
      <w:r w:rsidR="00890089">
        <w:rPr>
          <w:rFonts w:ascii="Arial" w:hAnsi="Arial" w:cs="Arial"/>
          <w:bCs/>
          <w:color w:val="000000"/>
          <w:sz w:val="22"/>
        </w:rPr>
        <w:t xml:space="preserve"> </w:t>
      </w:r>
    </w:p>
    <w:p w14:paraId="2A5D39A8" w14:textId="1341417B" w:rsidR="00FC668A" w:rsidRDefault="00FC668A" w:rsidP="003275F1">
      <w:pPr>
        <w:tabs>
          <w:tab w:val="left" w:pos="851"/>
          <w:tab w:val="left" w:pos="1418"/>
        </w:tabs>
        <w:rPr>
          <w:rFonts w:ascii="Arial" w:hAnsi="Arial" w:cs="Arial"/>
          <w:bCs/>
          <w:color w:val="000000"/>
          <w:sz w:val="22"/>
        </w:rPr>
      </w:pPr>
      <w:r>
        <w:rPr>
          <w:rFonts w:ascii="Arial" w:hAnsi="Arial" w:cs="Arial"/>
          <w:bCs/>
          <w:color w:val="000000"/>
          <w:sz w:val="22"/>
        </w:rPr>
        <w:t>Pour le cessionnaire, l’option n’est pas favorabl</w:t>
      </w:r>
      <w:r w:rsidR="00981093">
        <w:rPr>
          <w:rFonts w:ascii="Arial" w:hAnsi="Arial" w:cs="Arial"/>
          <w:bCs/>
          <w:color w:val="000000"/>
          <w:sz w:val="22"/>
        </w:rPr>
        <w:t xml:space="preserve">e car il devra acquitter 40 000 </w:t>
      </w:r>
      <w:r>
        <w:rPr>
          <w:rFonts w:ascii="Arial" w:hAnsi="Arial" w:cs="Arial"/>
          <w:bCs/>
          <w:color w:val="000000"/>
          <w:sz w:val="22"/>
        </w:rPr>
        <w:t>€ de TVA non récupérable alors que la soumission aux droits d’enregistrement s’élèverait seulement à 10 000 €.</w:t>
      </w:r>
      <w:r w:rsidR="00890089">
        <w:rPr>
          <w:rFonts w:ascii="Arial" w:hAnsi="Arial" w:cs="Arial"/>
          <w:bCs/>
          <w:color w:val="000000"/>
          <w:sz w:val="22"/>
        </w:rPr>
        <w:t xml:space="preserve"> </w:t>
      </w:r>
    </w:p>
    <w:p w14:paraId="7A5F0D77" w14:textId="6632539F" w:rsidR="00981093" w:rsidRDefault="00981093">
      <w:pPr>
        <w:jc w:val="left"/>
        <w:rPr>
          <w:rFonts w:ascii="Arial" w:hAnsi="Arial" w:cs="Arial"/>
          <w:bCs/>
          <w:color w:val="000000"/>
          <w:sz w:val="22"/>
        </w:rPr>
      </w:pPr>
      <w:r>
        <w:rPr>
          <w:rFonts w:ascii="Arial" w:hAnsi="Arial" w:cs="Arial"/>
          <w:bCs/>
          <w:color w:val="000000"/>
          <w:sz w:val="22"/>
        </w:rPr>
        <w:br w:type="page"/>
      </w:r>
    </w:p>
    <w:p w14:paraId="5583E834" w14:textId="77777777" w:rsidR="00D04D05" w:rsidRPr="002E78CA" w:rsidRDefault="00D04D05" w:rsidP="00D04D0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bCs/>
          <w:color w:val="000000"/>
          <w:szCs w:val="24"/>
        </w:rPr>
      </w:pPr>
    </w:p>
    <w:p w14:paraId="68E45D87" w14:textId="6C56A944" w:rsidR="009B3124" w:rsidRPr="002E78CA" w:rsidRDefault="00D04D05" w:rsidP="00E11279">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bCs/>
          <w:color w:val="000000"/>
          <w:szCs w:val="24"/>
        </w:rPr>
      </w:pPr>
      <w:r w:rsidRPr="002E78CA">
        <w:rPr>
          <w:rFonts w:ascii="Arial" w:hAnsi="Arial" w:cs="Arial"/>
          <w:b/>
          <w:bCs/>
          <w:color w:val="000000"/>
          <w:szCs w:val="24"/>
        </w:rPr>
        <w:t>DOSSIER 2 –</w:t>
      </w:r>
      <w:r w:rsidR="00E11279" w:rsidRPr="002E78CA">
        <w:rPr>
          <w:rFonts w:ascii="Arial" w:hAnsi="Arial" w:cs="Arial"/>
          <w:b/>
          <w:bCs/>
          <w:color w:val="000000"/>
          <w:szCs w:val="24"/>
        </w:rPr>
        <w:t>TITRES</w:t>
      </w:r>
      <w:r w:rsidR="00981093" w:rsidRPr="002E78CA">
        <w:rPr>
          <w:rFonts w:ascii="Arial" w:hAnsi="Arial" w:cs="Arial"/>
          <w:b/>
          <w:bCs/>
          <w:color w:val="000000"/>
          <w:szCs w:val="24"/>
        </w:rPr>
        <w:t xml:space="preserve"> DE PARTICIPATION</w:t>
      </w:r>
      <w:r w:rsidR="00E11279" w:rsidRPr="002E78CA">
        <w:rPr>
          <w:rFonts w:ascii="Arial" w:hAnsi="Arial" w:cs="Arial"/>
          <w:b/>
          <w:bCs/>
          <w:color w:val="000000"/>
          <w:szCs w:val="24"/>
        </w:rPr>
        <w:t xml:space="preserve"> ET PROC</w:t>
      </w:r>
      <w:r w:rsidR="00876257">
        <w:rPr>
          <w:rFonts w:ascii="Arial" w:hAnsi="Arial" w:cs="Arial"/>
          <w:b/>
          <w:bCs/>
          <w:color w:val="000000"/>
          <w:szCs w:val="24"/>
        </w:rPr>
        <w:t>É</w:t>
      </w:r>
      <w:r w:rsidR="00E11279" w:rsidRPr="002E78CA">
        <w:rPr>
          <w:rFonts w:ascii="Arial" w:hAnsi="Arial" w:cs="Arial"/>
          <w:b/>
          <w:bCs/>
          <w:color w:val="000000"/>
          <w:szCs w:val="24"/>
        </w:rPr>
        <w:t>DURE DE RESCRIT</w:t>
      </w:r>
    </w:p>
    <w:p w14:paraId="1FA60172" w14:textId="77777777" w:rsidR="00D04D05" w:rsidRPr="00AD107D" w:rsidRDefault="00D04D05" w:rsidP="00D04D05">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bCs/>
          <w:color w:val="000000"/>
          <w:sz w:val="28"/>
          <w:szCs w:val="28"/>
        </w:rPr>
      </w:pPr>
    </w:p>
    <w:p w14:paraId="3E923866" w14:textId="192C3868" w:rsidR="00D04D05" w:rsidRDefault="00D04D05" w:rsidP="00D04D05">
      <w:pPr>
        <w:shd w:val="clear" w:color="auto" w:fill="FFFFFF"/>
        <w:rPr>
          <w:rFonts w:ascii="Arial" w:hAnsi="Arial" w:cs="Arial"/>
          <w:color w:val="000000"/>
          <w:spacing w:val="-7"/>
          <w:szCs w:val="24"/>
        </w:rPr>
      </w:pPr>
    </w:p>
    <w:p w14:paraId="507CA78D" w14:textId="77777777" w:rsidR="00AE74E7" w:rsidRDefault="00AE74E7" w:rsidP="00D04D05">
      <w:pPr>
        <w:shd w:val="clear" w:color="auto" w:fill="FFFFFF"/>
        <w:rPr>
          <w:rFonts w:ascii="Arial" w:hAnsi="Arial" w:cs="Arial"/>
          <w:color w:val="000000"/>
          <w:spacing w:val="-7"/>
          <w:szCs w:val="24"/>
        </w:rPr>
      </w:pPr>
    </w:p>
    <w:p w14:paraId="0A8A6D8F" w14:textId="117837C9" w:rsidR="00D04D05" w:rsidRPr="00876257" w:rsidRDefault="00816517" w:rsidP="00876257">
      <w:pPr>
        <w:rPr>
          <w:rFonts w:ascii="Arial" w:hAnsi="Arial" w:cs="Arial"/>
          <w:b/>
          <w:sz w:val="22"/>
        </w:rPr>
      </w:pPr>
      <w:r w:rsidRPr="00876257">
        <w:rPr>
          <w:rFonts w:ascii="Arial" w:hAnsi="Arial" w:cs="Arial"/>
          <w:b/>
          <w:sz w:val="22"/>
        </w:rPr>
        <w:t>1</w:t>
      </w:r>
      <w:r w:rsidRPr="00876257">
        <w:rPr>
          <w:rFonts w:ascii="Arial" w:hAnsi="Arial" w:cs="Arial"/>
          <w:b/>
          <w:sz w:val="22"/>
          <w:vertAlign w:val="superscript"/>
        </w:rPr>
        <w:t>ère</w:t>
      </w:r>
      <w:r w:rsidRPr="00876257">
        <w:rPr>
          <w:rFonts w:ascii="Arial" w:hAnsi="Arial" w:cs="Arial"/>
          <w:b/>
          <w:sz w:val="22"/>
        </w:rPr>
        <w:t xml:space="preserve"> </w:t>
      </w:r>
      <w:r w:rsidR="00D04D05" w:rsidRPr="00876257">
        <w:rPr>
          <w:rFonts w:ascii="Arial" w:hAnsi="Arial" w:cs="Arial"/>
          <w:b/>
          <w:sz w:val="22"/>
        </w:rPr>
        <w:t>Mission</w:t>
      </w:r>
      <w:r w:rsidR="00876257" w:rsidRPr="00876257">
        <w:rPr>
          <w:rFonts w:ascii="Arial" w:hAnsi="Arial" w:cs="Arial"/>
          <w:b/>
          <w:sz w:val="22"/>
        </w:rPr>
        <w:t> :</w:t>
      </w:r>
      <w:r w:rsidR="00D04D05" w:rsidRPr="00876257">
        <w:rPr>
          <w:rFonts w:ascii="Arial" w:hAnsi="Arial" w:cs="Arial"/>
          <w:b/>
          <w:sz w:val="22"/>
        </w:rPr>
        <w:t xml:space="preserve"> </w:t>
      </w:r>
      <w:r w:rsidR="00876257" w:rsidRPr="00876257">
        <w:rPr>
          <w:rFonts w:ascii="Arial" w:hAnsi="Arial" w:cs="Arial"/>
          <w:b/>
          <w:sz w:val="22"/>
        </w:rPr>
        <w:t>c</w:t>
      </w:r>
      <w:r w:rsidR="00D04D05" w:rsidRPr="00876257">
        <w:rPr>
          <w:rFonts w:ascii="Arial" w:hAnsi="Arial" w:cs="Arial"/>
          <w:b/>
          <w:sz w:val="22"/>
        </w:rPr>
        <w:t xml:space="preserve">ession </w:t>
      </w:r>
      <w:r w:rsidRPr="00876257">
        <w:rPr>
          <w:rFonts w:ascii="Arial" w:hAnsi="Arial" w:cs="Arial"/>
          <w:b/>
          <w:sz w:val="22"/>
        </w:rPr>
        <w:t xml:space="preserve">et dépréciation </w:t>
      </w:r>
      <w:r w:rsidR="00D04D05" w:rsidRPr="00876257">
        <w:rPr>
          <w:rFonts w:ascii="Arial" w:hAnsi="Arial" w:cs="Arial"/>
          <w:b/>
          <w:sz w:val="22"/>
        </w:rPr>
        <w:t>de</w:t>
      </w:r>
      <w:r w:rsidRPr="00876257">
        <w:rPr>
          <w:rFonts w:ascii="Arial" w:hAnsi="Arial" w:cs="Arial"/>
          <w:b/>
          <w:sz w:val="22"/>
        </w:rPr>
        <w:t>s</w:t>
      </w:r>
      <w:r w:rsidR="00D04D05" w:rsidRPr="00876257">
        <w:rPr>
          <w:rFonts w:ascii="Arial" w:hAnsi="Arial" w:cs="Arial"/>
          <w:b/>
          <w:sz w:val="22"/>
        </w:rPr>
        <w:t xml:space="preserve"> titres de participation</w:t>
      </w:r>
      <w:r w:rsidR="00876257" w:rsidRPr="00876257">
        <w:rPr>
          <w:rFonts w:ascii="Arial" w:hAnsi="Arial" w:cs="Arial"/>
          <w:b/>
          <w:sz w:val="22"/>
        </w:rPr>
        <w:t>.</w:t>
      </w:r>
    </w:p>
    <w:p w14:paraId="562F7B23" w14:textId="37BB5E94" w:rsidR="00D04D05" w:rsidRPr="000C3E78" w:rsidRDefault="00D04D05" w:rsidP="00D04D05">
      <w:pPr>
        <w:shd w:val="clear" w:color="auto" w:fill="FFFFFF"/>
        <w:rPr>
          <w:rFonts w:ascii="Arial" w:hAnsi="Arial" w:cs="Arial"/>
          <w:color w:val="000000"/>
          <w:spacing w:val="-7"/>
          <w:sz w:val="22"/>
        </w:rPr>
      </w:pPr>
    </w:p>
    <w:p w14:paraId="7693C60D" w14:textId="778E5396" w:rsidR="00D04D05" w:rsidRPr="00436173" w:rsidRDefault="00D04D05" w:rsidP="00436173">
      <w:pPr>
        <w:pStyle w:val="Paragraphedeliste"/>
        <w:numPr>
          <w:ilvl w:val="1"/>
          <w:numId w:val="23"/>
        </w:numPr>
        <w:spacing w:after="120" w:line="276" w:lineRule="auto"/>
        <w:rPr>
          <w:rFonts w:ascii="Arial" w:hAnsi="Arial" w:cs="Arial"/>
        </w:rPr>
      </w:pPr>
      <w:r w:rsidRPr="00436173">
        <w:rPr>
          <w:rFonts w:ascii="Arial" w:hAnsi="Arial" w:cs="Arial"/>
          <w:b/>
        </w:rPr>
        <w:t>Calcule</w:t>
      </w:r>
      <w:r w:rsidR="00436173">
        <w:rPr>
          <w:rFonts w:ascii="Arial" w:hAnsi="Arial" w:cs="Arial"/>
          <w:b/>
        </w:rPr>
        <w:t>r</w:t>
      </w:r>
      <w:r w:rsidRPr="00436173">
        <w:rPr>
          <w:rFonts w:ascii="Arial" w:hAnsi="Arial" w:cs="Arial"/>
          <w:b/>
        </w:rPr>
        <w:t xml:space="preserve"> et qualifie</w:t>
      </w:r>
      <w:r w:rsidR="00436173">
        <w:rPr>
          <w:rFonts w:ascii="Arial" w:hAnsi="Arial" w:cs="Arial"/>
          <w:b/>
        </w:rPr>
        <w:t>r</w:t>
      </w:r>
      <w:r w:rsidRPr="00436173">
        <w:rPr>
          <w:rFonts w:ascii="Arial" w:hAnsi="Arial" w:cs="Arial"/>
          <w:b/>
        </w:rPr>
        <w:t xml:space="preserve"> le résultat de cession de ces titres</w:t>
      </w:r>
      <w:r w:rsidR="00436173">
        <w:rPr>
          <w:rFonts w:ascii="Arial" w:hAnsi="Arial" w:cs="Arial"/>
          <w:b/>
        </w:rPr>
        <w:t>.</w:t>
      </w:r>
    </w:p>
    <w:p w14:paraId="17924C0F" w14:textId="27CE311C" w:rsidR="00C83E82" w:rsidRDefault="00C83E82" w:rsidP="00C83E82">
      <w:pPr>
        <w:shd w:val="clear" w:color="auto" w:fill="FFFFFF"/>
        <w:rPr>
          <w:rFonts w:ascii="Arial" w:hAnsi="Arial" w:cs="Arial"/>
          <w:color w:val="000000"/>
          <w:spacing w:val="-7"/>
          <w:sz w:val="22"/>
        </w:rPr>
      </w:pPr>
      <w:r w:rsidRPr="00C83E82">
        <w:rPr>
          <w:rFonts w:ascii="Arial" w:hAnsi="Arial" w:cs="Arial"/>
          <w:color w:val="000000"/>
          <w:spacing w:val="-7"/>
          <w:sz w:val="22"/>
        </w:rPr>
        <w:t>A l’IS, les titres de participation sont éligibles au régime des plus et moins-values professionnelles quelle que soit leur durée de détention.</w:t>
      </w:r>
    </w:p>
    <w:p w14:paraId="2C3ED2DE" w14:textId="77777777" w:rsidR="00C83E82" w:rsidRPr="00C83E82" w:rsidRDefault="00C83E82" w:rsidP="00C83E82">
      <w:pPr>
        <w:shd w:val="clear" w:color="auto" w:fill="FFFFFF"/>
        <w:rPr>
          <w:rFonts w:ascii="Arial" w:hAnsi="Arial" w:cs="Arial"/>
          <w:color w:val="000000"/>
          <w:spacing w:val="-7"/>
          <w:sz w:val="22"/>
        </w:rPr>
      </w:pPr>
    </w:p>
    <w:tbl>
      <w:tblPr>
        <w:tblStyle w:val="Grilledutableau"/>
        <w:tblW w:w="0" w:type="auto"/>
        <w:tblLook w:val="04A0" w:firstRow="1" w:lastRow="0" w:firstColumn="1" w:lastColumn="0" w:noHBand="0" w:noVBand="1"/>
      </w:tblPr>
      <w:tblGrid>
        <w:gridCol w:w="811"/>
        <w:gridCol w:w="1404"/>
        <w:gridCol w:w="992"/>
        <w:gridCol w:w="1817"/>
        <w:gridCol w:w="4830"/>
      </w:tblGrid>
      <w:tr w:rsidR="00D04D05" w:rsidRPr="000C3E78" w14:paraId="16D070A3" w14:textId="77777777" w:rsidTr="00326E25">
        <w:tc>
          <w:tcPr>
            <w:tcW w:w="817" w:type="dxa"/>
            <w:vAlign w:val="center"/>
          </w:tcPr>
          <w:p w14:paraId="1E21E6D9" w14:textId="77777777" w:rsidR="00D04D05" w:rsidRPr="009979A2" w:rsidRDefault="00D04D05" w:rsidP="00326E25">
            <w:pPr>
              <w:jc w:val="center"/>
              <w:rPr>
                <w:rFonts w:ascii="Arial" w:hAnsi="Arial" w:cs="Arial"/>
                <w:b/>
                <w:color w:val="000000"/>
                <w:spacing w:val="-7"/>
                <w:sz w:val="22"/>
              </w:rPr>
            </w:pPr>
            <w:r w:rsidRPr="009979A2">
              <w:rPr>
                <w:rFonts w:ascii="Arial" w:hAnsi="Arial" w:cs="Arial"/>
                <w:b/>
                <w:color w:val="000000"/>
                <w:spacing w:val="-7"/>
                <w:sz w:val="22"/>
              </w:rPr>
              <w:t>Lots</w:t>
            </w:r>
          </w:p>
        </w:tc>
        <w:tc>
          <w:tcPr>
            <w:tcW w:w="1418" w:type="dxa"/>
            <w:vAlign w:val="center"/>
          </w:tcPr>
          <w:p w14:paraId="15A1CBB5" w14:textId="77777777" w:rsidR="00D04D05" w:rsidRPr="009979A2" w:rsidRDefault="00D04D05" w:rsidP="00326E25">
            <w:pPr>
              <w:jc w:val="center"/>
              <w:rPr>
                <w:rFonts w:ascii="Arial" w:hAnsi="Arial" w:cs="Arial"/>
                <w:b/>
                <w:color w:val="000000"/>
                <w:spacing w:val="-7"/>
                <w:sz w:val="22"/>
              </w:rPr>
            </w:pPr>
            <w:r w:rsidRPr="009979A2">
              <w:rPr>
                <w:rFonts w:ascii="Arial" w:hAnsi="Arial" w:cs="Arial"/>
                <w:b/>
                <w:color w:val="000000"/>
                <w:spacing w:val="-7"/>
                <w:sz w:val="22"/>
              </w:rPr>
              <w:t>Prix d’achat</w:t>
            </w:r>
          </w:p>
        </w:tc>
        <w:tc>
          <w:tcPr>
            <w:tcW w:w="992" w:type="dxa"/>
            <w:vAlign w:val="center"/>
          </w:tcPr>
          <w:p w14:paraId="7B108D0E" w14:textId="77777777" w:rsidR="00D04D05" w:rsidRPr="009979A2" w:rsidRDefault="00D04D05" w:rsidP="00326E25">
            <w:pPr>
              <w:jc w:val="center"/>
              <w:rPr>
                <w:rFonts w:ascii="Arial" w:hAnsi="Arial" w:cs="Arial"/>
                <w:b/>
                <w:color w:val="000000"/>
                <w:spacing w:val="-7"/>
                <w:sz w:val="22"/>
              </w:rPr>
            </w:pPr>
            <w:r w:rsidRPr="009979A2">
              <w:rPr>
                <w:rFonts w:ascii="Arial" w:hAnsi="Arial" w:cs="Arial"/>
                <w:b/>
                <w:color w:val="000000"/>
                <w:spacing w:val="-7"/>
                <w:sz w:val="22"/>
              </w:rPr>
              <w:t>Prix de cession</w:t>
            </w:r>
          </w:p>
        </w:tc>
        <w:tc>
          <w:tcPr>
            <w:tcW w:w="1843" w:type="dxa"/>
            <w:vAlign w:val="center"/>
          </w:tcPr>
          <w:p w14:paraId="45005C07" w14:textId="77777777" w:rsidR="00D04D05" w:rsidRPr="009979A2" w:rsidRDefault="00D04D05" w:rsidP="00326E25">
            <w:pPr>
              <w:jc w:val="center"/>
              <w:rPr>
                <w:rFonts w:ascii="Arial" w:hAnsi="Arial" w:cs="Arial"/>
                <w:b/>
                <w:color w:val="000000"/>
                <w:spacing w:val="-7"/>
                <w:sz w:val="22"/>
              </w:rPr>
            </w:pPr>
            <w:r w:rsidRPr="009979A2">
              <w:rPr>
                <w:rFonts w:ascii="Arial" w:hAnsi="Arial" w:cs="Arial"/>
                <w:b/>
                <w:color w:val="000000"/>
                <w:spacing w:val="-7"/>
                <w:sz w:val="22"/>
              </w:rPr>
              <w:t>Plus ou moins value</w:t>
            </w:r>
          </w:p>
        </w:tc>
        <w:tc>
          <w:tcPr>
            <w:tcW w:w="4934" w:type="dxa"/>
            <w:vAlign w:val="center"/>
          </w:tcPr>
          <w:p w14:paraId="39D761D1" w14:textId="77777777" w:rsidR="00D04D05" w:rsidRPr="009979A2" w:rsidRDefault="00D04D05" w:rsidP="00326E25">
            <w:pPr>
              <w:jc w:val="center"/>
              <w:rPr>
                <w:rFonts w:ascii="Arial" w:hAnsi="Arial" w:cs="Arial"/>
                <w:b/>
                <w:color w:val="000000"/>
                <w:spacing w:val="-7"/>
                <w:sz w:val="22"/>
              </w:rPr>
            </w:pPr>
            <w:r w:rsidRPr="009979A2">
              <w:rPr>
                <w:rFonts w:ascii="Arial" w:hAnsi="Arial" w:cs="Arial"/>
                <w:b/>
                <w:color w:val="000000"/>
                <w:spacing w:val="-7"/>
                <w:sz w:val="22"/>
              </w:rPr>
              <w:t>Qualification fiscale</w:t>
            </w:r>
          </w:p>
        </w:tc>
      </w:tr>
      <w:tr w:rsidR="00D04D05" w:rsidRPr="000C3E78" w14:paraId="45C04876" w14:textId="77777777" w:rsidTr="00987F6B">
        <w:tc>
          <w:tcPr>
            <w:tcW w:w="817" w:type="dxa"/>
            <w:vAlign w:val="center"/>
          </w:tcPr>
          <w:p w14:paraId="557DCB4B" w14:textId="77777777" w:rsidR="00D04D05" w:rsidRPr="009979A2" w:rsidRDefault="00D04D05" w:rsidP="00987F6B">
            <w:pPr>
              <w:jc w:val="center"/>
              <w:rPr>
                <w:rFonts w:ascii="Arial" w:hAnsi="Arial" w:cs="Arial"/>
                <w:spacing w:val="-7"/>
                <w:sz w:val="22"/>
              </w:rPr>
            </w:pPr>
            <w:r w:rsidRPr="009979A2">
              <w:rPr>
                <w:rFonts w:ascii="Arial" w:hAnsi="Arial" w:cs="Arial"/>
                <w:spacing w:val="-7"/>
                <w:sz w:val="22"/>
              </w:rPr>
              <w:t>Lot 1</w:t>
            </w:r>
          </w:p>
        </w:tc>
        <w:tc>
          <w:tcPr>
            <w:tcW w:w="1418" w:type="dxa"/>
            <w:vAlign w:val="center"/>
          </w:tcPr>
          <w:p w14:paraId="55ECF148" w14:textId="77777777" w:rsidR="00D04D05" w:rsidRPr="009979A2" w:rsidRDefault="00D04D05" w:rsidP="00987F6B">
            <w:pPr>
              <w:jc w:val="center"/>
              <w:rPr>
                <w:rFonts w:ascii="Arial" w:hAnsi="Arial" w:cs="Arial"/>
                <w:spacing w:val="-7"/>
                <w:sz w:val="22"/>
              </w:rPr>
            </w:pPr>
            <w:r w:rsidRPr="009979A2">
              <w:rPr>
                <w:rFonts w:ascii="Arial" w:hAnsi="Arial" w:cs="Arial"/>
                <w:spacing w:val="-7"/>
                <w:sz w:val="22"/>
              </w:rPr>
              <w:t>130 000</w:t>
            </w:r>
          </w:p>
        </w:tc>
        <w:tc>
          <w:tcPr>
            <w:tcW w:w="992" w:type="dxa"/>
            <w:vAlign w:val="center"/>
          </w:tcPr>
          <w:p w14:paraId="7DF14CB7" w14:textId="77777777" w:rsidR="00D04D05" w:rsidRPr="009979A2" w:rsidRDefault="00D04D05" w:rsidP="00987F6B">
            <w:pPr>
              <w:jc w:val="center"/>
              <w:rPr>
                <w:rFonts w:ascii="Arial" w:hAnsi="Arial" w:cs="Arial"/>
                <w:spacing w:val="-7"/>
                <w:sz w:val="22"/>
              </w:rPr>
            </w:pPr>
            <w:r w:rsidRPr="009979A2">
              <w:rPr>
                <w:rFonts w:ascii="Arial" w:hAnsi="Arial" w:cs="Arial"/>
                <w:spacing w:val="-7"/>
                <w:sz w:val="22"/>
              </w:rPr>
              <w:t>260 000</w:t>
            </w:r>
          </w:p>
        </w:tc>
        <w:tc>
          <w:tcPr>
            <w:tcW w:w="1843" w:type="dxa"/>
            <w:vAlign w:val="center"/>
          </w:tcPr>
          <w:p w14:paraId="2D190876" w14:textId="77777777" w:rsidR="00D04D05" w:rsidRDefault="00D04D05" w:rsidP="00987F6B">
            <w:pPr>
              <w:jc w:val="center"/>
              <w:rPr>
                <w:rFonts w:ascii="Arial" w:hAnsi="Arial" w:cs="Arial"/>
                <w:spacing w:val="-7"/>
                <w:sz w:val="22"/>
              </w:rPr>
            </w:pPr>
            <w:r w:rsidRPr="009979A2">
              <w:rPr>
                <w:rFonts w:ascii="Arial" w:hAnsi="Arial" w:cs="Arial"/>
                <w:spacing w:val="-7"/>
                <w:sz w:val="22"/>
              </w:rPr>
              <w:t>Plus-value</w:t>
            </w:r>
          </w:p>
          <w:p w14:paraId="346653A3" w14:textId="2EEE7F4A" w:rsidR="00D04D05" w:rsidRPr="009979A2" w:rsidRDefault="00D04D05" w:rsidP="00987F6B">
            <w:pPr>
              <w:jc w:val="center"/>
              <w:rPr>
                <w:rFonts w:ascii="Arial" w:hAnsi="Arial" w:cs="Arial"/>
                <w:spacing w:val="-7"/>
                <w:sz w:val="22"/>
              </w:rPr>
            </w:pPr>
            <w:r w:rsidRPr="009979A2">
              <w:rPr>
                <w:rFonts w:ascii="Arial" w:hAnsi="Arial" w:cs="Arial"/>
                <w:spacing w:val="-7"/>
                <w:sz w:val="22"/>
              </w:rPr>
              <w:t>130</w:t>
            </w:r>
            <w:r w:rsidR="00047E85">
              <w:rPr>
                <w:rFonts w:ascii="Arial" w:hAnsi="Arial" w:cs="Arial"/>
                <w:spacing w:val="-7"/>
                <w:sz w:val="22"/>
              </w:rPr>
              <w:t> </w:t>
            </w:r>
            <w:r w:rsidRPr="009979A2">
              <w:rPr>
                <w:rFonts w:ascii="Arial" w:hAnsi="Arial" w:cs="Arial"/>
                <w:spacing w:val="-7"/>
                <w:sz w:val="22"/>
              </w:rPr>
              <w:t>000</w:t>
            </w:r>
          </w:p>
        </w:tc>
        <w:tc>
          <w:tcPr>
            <w:tcW w:w="4934" w:type="dxa"/>
            <w:vAlign w:val="center"/>
          </w:tcPr>
          <w:p w14:paraId="18CB2E6A" w14:textId="29185F67" w:rsidR="00D04D05" w:rsidRPr="009979A2" w:rsidRDefault="00D04D05" w:rsidP="009B3124">
            <w:pPr>
              <w:rPr>
                <w:rFonts w:ascii="Arial" w:hAnsi="Arial" w:cs="Arial"/>
                <w:spacing w:val="-7"/>
                <w:sz w:val="22"/>
              </w:rPr>
            </w:pPr>
            <w:r w:rsidRPr="00C83E82">
              <w:rPr>
                <w:rFonts w:ascii="Arial" w:hAnsi="Arial" w:cs="Arial"/>
                <w:spacing w:val="-7"/>
                <w:sz w:val="22"/>
              </w:rPr>
              <w:t xml:space="preserve">Titres </w:t>
            </w:r>
            <w:r w:rsidR="00C83E82">
              <w:rPr>
                <w:rFonts w:ascii="Arial" w:hAnsi="Arial" w:cs="Arial"/>
                <w:spacing w:val="-7"/>
                <w:sz w:val="22"/>
              </w:rPr>
              <w:t xml:space="preserve">de participation </w:t>
            </w:r>
            <w:r w:rsidRPr="00C83E82">
              <w:rPr>
                <w:rFonts w:ascii="Arial" w:hAnsi="Arial" w:cs="Arial"/>
                <w:spacing w:val="-7"/>
                <w:sz w:val="22"/>
              </w:rPr>
              <w:t>détenus depuis au moins deux ans : il s’agit donc d’une plus-value à long terme</w:t>
            </w:r>
          </w:p>
        </w:tc>
      </w:tr>
      <w:tr w:rsidR="00D04D05" w:rsidRPr="000C3E78" w14:paraId="19125A98" w14:textId="77777777" w:rsidTr="00987F6B">
        <w:tc>
          <w:tcPr>
            <w:tcW w:w="817" w:type="dxa"/>
            <w:vAlign w:val="center"/>
          </w:tcPr>
          <w:p w14:paraId="7CA8BA4B" w14:textId="77777777" w:rsidR="00D04D05" w:rsidRPr="009979A2" w:rsidRDefault="00D04D05" w:rsidP="00987F6B">
            <w:pPr>
              <w:jc w:val="center"/>
              <w:rPr>
                <w:rFonts w:ascii="Arial" w:hAnsi="Arial" w:cs="Arial"/>
                <w:spacing w:val="-7"/>
                <w:sz w:val="22"/>
              </w:rPr>
            </w:pPr>
            <w:r w:rsidRPr="009979A2">
              <w:rPr>
                <w:rFonts w:ascii="Arial" w:hAnsi="Arial" w:cs="Arial"/>
                <w:spacing w:val="-7"/>
                <w:sz w:val="22"/>
              </w:rPr>
              <w:t>Lot 2</w:t>
            </w:r>
          </w:p>
        </w:tc>
        <w:tc>
          <w:tcPr>
            <w:tcW w:w="1418" w:type="dxa"/>
            <w:vAlign w:val="center"/>
          </w:tcPr>
          <w:p w14:paraId="6FFFD0DF" w14:textId="77777777" w:rsidR="00D04D05" w:rsidRPr="009979A2" w:rsidRDefault="00D04D05" w:rsidP="00987F6B">
            <w:pPr>
              <w:jc w:val="center"/>
              <w:rPr>
                <w:rFonts w:ascii="Arial" w:hAnsi="Arial" w:cs="Arial"/>
                <w:spacing w:val="-7"/>
                <w:sz w:val="22"/>
              </w:rPr>
            </w:pPr>
            <w:r w:rsidRPr="009979A2">
              <w:rPr>
                <w:rFonts w:ascii="Arial" w:hAnsi="Arial" w:cs="Arial"/>
                <w:spacing w:val="-7"/>
                <w:sz w:val="22"/>
              </w:rPr>
              <w:t>30 000</w:t>
            </w:r>
          </w:p>
        </w:tc>
        <w:tc>
          <w:tcPr>
            <w:tcW w:w="992" w:type="dxa"/>
            <w:vAlign w:val="center"/>
          </w:tcPr>
          <w:p w14:paraId="43FCDE24" w14:textId="77777777" w:rsidR="00D04D05" w:rsidRPr="009979A2" w:rsidRDefault="00D04D05" w:rsidP="00987F6B">
            <w:pPr>
              <w:jc w:val="center"/>
              <w:rPr>
                <w:rFonts w:ascii="Arial" w:hAnsi="Arial" w:cs="Arial"/>
                <w:spacing w:val="-7"/>
                <w:sz w:val="22"/>
              </w:rPr>
            </w:pPr>
            <w:r w:rsidRPr="009979A2">
              <w:rPr>
                <w:rFonts w:ascii="Arial" w:hAnsi="Arial" w:cs="Arial"/>
                <w:spacing w:val="-7"/>
                <w:sz w:val="22"/>
              </w:rPr>
              <w:t>40 000</w:t>
            </w:r>
          </w:p>
        </w:tc>
        <w:tc>
          <w:tcPr>
            <w:tcW w:w="1843" w:type="dxa"/>
            <w:vAlign w:val="center"/>
          </w:tcPr>
          <w:p w14:paraId="56E2F0E8" w14:textId="77777777" w:rsidR="00D04D05" w:rsidRPr="00C83E82" w:rsidRDefault="00D04D05" w:rsidP="00987F6B">
            <w:pPr>
              <w:jc w:val="center"/>
              <w:rPr>
                <w:rFonts w:ascii="Arial" w:hAnsi="Arial" w:cs="Arial"/>
                <w:spacing w:val="-7"/>
                <w:sz w:val="22"/>
              </w:rPr>
            </w:pPr>
            <w:r w:rsidRPr="00C83E82">
              <w:rPr>
                <w:rFonts w:ascii="Arial" w:hAnsi="Arial" w:cs="Arial"/>
                <w:spacing w:val="-7"/>
                <w:sz w:val="22"/>
              </w:rPr>
              <w:t>Plus-value</w:t>
            </w:r>
          </w:p>
          <w:p w14:paraId="5B40C859" w14:textId="184F21C0" w:rsidR="00D04D05" w:rsidRPr="00C83E82" w:rsidRDefault="00D04D05" w:rsidP="00987F6B">
            <w:pPr>
              <w:jc w:val="center"/>
              <w:rPr>
                <w:rFonts w:ascii="Arial" w:hAnsi="Arial" w:cs="Arial"/>
                <w:spacing w:val="-7"/>
                <w:sz w:val="22"/>
              </w:rPr>
            </w:pPr>
            <w:r w:rsidRPr="00C83E82">
              <w:rPr>
                <w:rFonts w:ascii="Arial" w:hAnsi="Arial" w:cs="Arial"/>
                <w:spacing w:val="-7"/>
                <w:sz w:val="22"/>
              </w:rPr>
              <w:t>10</w:t>
            </w:r>
            <w:r w:rsidR="00047E85">
              <w:rPr>
                <w:rFonts w:ascii="Arial" w:hAnsi="Arial" w:cs="Arial"/>
                <w:spacing w:val="-7"/>
                <w:sz w:val="22"/>
              </w:rPr>
              <w:t> </w:t>
            </w:r>
            <w:r w:rsidRPr="00C83E82">
              <w:rPr>
                <w:rFonts w:ascii="Arial" w:hAnsi="Arial" w:cs="Arial"/>
                <w:spacing w:val="-7"/>
                <w:sz w:val="22"/>
              </w:rPr>
              <w:t>000</w:t>
            </w:r>
          </w:p>
        </w:tc>
        <w:tc>
          <w:tcPr>
            <w:tcW w:w="4934" w:type="dxa"/>
            <w:vAlign w:val="center"/>
          </w:tcPr>
          <w:p w14:paraId="0CD66CA3" w14:textId="05FD5ED9" w:rsidR="00D04D05" w:rsidRPr="00C83E82" w:rsidRDefault="00D04D05" w:rsidP="00987F6B">
            <w:pPr>
              <w:rPr>
                <w:rFonts w:ascii="Arial" w:hAnsi="Arial" w:cs="Arial"/>
                <w:spacing w:val="-7"/>
                <w:sz w:val="22"/>
              </w:rPr>
            </w:pPr>
            <w:r w:rsidRPr="00C83E82">
              <w:rPr>
                <w:rFonts w:ascii="Arial" w:hAnsi="Arial" w:cs="Arial"/>
                <w:spacing w:val="-7"/>
                <w:sz w:val="22"/>
              </w:rPr>
              <w:t>Le lot est détenu depuis moins de 2 ans</w:t>
            </w:r>
            <w:r w:rsidR="00C83E82">
              <w:rPr>
                <w:rFonts w:ascii="Arial" w:hAnsi="Arial" w:cs="Arial"/>
                <w:spacing w:val="-7"/>
                <w:sz w:val="22"/>
              </w:rPr>
              <w:t xml:space="preserve"> : </w:t>
            </w:r>
            <w:r w:rsidRPr="00C83E82">
              <w:rPr>
                <w:rFonts w:ascii="Arial" w:hAnsi="Arial" w:cs="Arial"/>
                <w:spacing w:val="-7"/>
                <w:sz w:val="22"/>
              </w:rPr>
              <w:t xml:space="preserve">il s’agit </w:t>
            </w:r>
            <w:r w:rsidR="00C83E82">
              <w:rPr>
                <w:rFonts w:ascii="Arial" w:hAnsi="Arial" w:cs="Arial"/>
                <w:spacing w:val="-7"/>
                <w:sz w:val="22"/>
              </w:rPr>
              <w:t xml:space="preserve">donc </w:t>
            </w:r>
            <w:r w:rsidRPr="00C83E82">
              <w:rPr>
                <w:rFonts w:ascii="Arial" w:hAnsi="Arial" w:cs="Arial"/>
                <w:spacing w:val="-7"/>
                <w:sz w:val="22"/>
              </w:rPr>
              <w:t>d’une plus-value à court terme</w:t>
            </w:r>
          </w:p>
        </w:tc>
      </w:tr>
    </w:tbl>
    <w:p w14:paraId="7761043F" w14:textId="77777777" w:rsidR="009B3124" w:rsidRDefault="009B3124" w:rsidP="009B3124">
      <w:pPr>
        <w:pStyle w:val="Paragraphedeliste"/>
        <w:spacing w:after="120" w:line="276" w:lineRule="auto"/>
        <w:jc w:val="both"/>
        <w:rPr>
          <w:rFonts w:ascii="Arial" w:hAnsi="Arial" w:cs="Arial"/>
          <w:b/>
        </w:rPr>
      </w:pPr>
    </w:p>
    <w:p w14:paraId="0DB7956E" w14:textId="77777777" w:rsidR="009B3124" w:rsidRDefault="009B3124" w:rsidP="009B3124">
      <w:pPr>
        <w:pStyle w:val="Paragraphedeliste"/>
        <w:spacing w:after="120" w:line="276" w:lineRule="auto"/>
        <w:jc w:val="both"/>
        <w:rPr>
          <w:rFonts w:ascii="Arial" w:hAnsi="Arial" w:cs="Arial"/>
          <w:b/>
        </w:rPr>
      </w:pPr>
    </w:p>
    <w:p w14:paraId="017D8D75" w14:textId="2A1A4D6F" w:rsidR="00D04D05" w:rsidRPr="00436173" w:rsidRDefault="00D04D05" w:rsidP="00436173">
      <w:pPr>
        <w:pStyle w:val="Paragraphedeliste"/>
        <w:numPr>
          <w:ilvl w:val="1"/>
          <w:numId w:val="23"/>
        </w:numPr>
        <w:spacing w:after="120" w:line="276" w:lineRule="auto"/>
        <w:rPr>
          <w:rFonts w:ascii="Arial" w:hAnsi="Arial" w:cs="Arial"/>
          <w:b/>
        </w:rPr>
      </w:pPr>
      <w:r w:rsidRPr="00436173">
        <w:rPr>
          <w:rFonts w:ascii="Arial" w:hAnsi="Arial" w:cs="Arial"/>
          <w:b/>
        </w:rPr>
        <w:t>Analyse</w:t>
      </w:r>
      <w:r w:rsidR="00436173">
        <w:rPr>
          <w:rFonts w:ascii="Arial" w:hAnsi="Arial" w:cs="Arial"/>
          <w:b/>
        </w:rPr>
        <w:t>r</w:t>
      </w:r>
      <w:r w:rsidRPr="00436173">
        <w:rPr>
          <w:rFonts w:ascii="Arial" w:hAnsi="Arial" w:cs="Arial"/>
          <w:b/>
        </w:rPr>
        <w:t xml:space="preserve"> les traitements fiscaux induits par cette cession.</w:t>
      </w:r>
    </w:p>
    <w:p w14:paraId="48A883BE" w14:textId="77777777" w:rsidR="00D04D05" w:rsidRPr="004863B6" w:rsidRDefault="00D04D05" w:rsidP="00D04D05">
      <w:pPr>
        <w:shd w:val="clear" w:color="auto" w:fill="FFFFFF"/>
        <w:rPr>
          <w:rFonts w:ascii="Arial" w:hAnsi="Arial" w:cs="Arial"/>
          <w:color w:val="000000"/>
          <w:spacing w:val="-7"/>
          <w:sz w:val="22"/>
          <w:u w:val="single"/>
        </w:rPr>
      </w:pPr>
      <w:r w:rsidRPr="004863B6">
        <w:rPr>
          <w:rFonts w:ascii="Arial" w:hAnsi="Arial" w:cs="Arial"/>
          <w:color w:val="000000"/>
          <w:spacing w:val="-7"/>
          <w:sz w:val="22"/>
          <w:u w:val="single"/>
        </w:rPr>
        <w:t>Plus-value à long terme de 130 000 €</w:t>
      </w:r>
    </w:p>
    <w:p w14:paraId="03D2D962" w14:textId="628067FB" w:rsidR="00D04D05" w:rsidRPr="004863B6" w:rsidRDefault="00D04D05" w:rsidP="00D04D05">
      <w:pPr>
        <w:pStyle w:val="Paragraphedeliste"/>
        <w:numPr>
          <w:ilvl w:val="0"/>
          <w:numId w:val="9"/>
        </w:numPr>
        <w:shd w:val="clear" w:color="auto" w:fill="FFFFFF"/>
        <w:jc w:val="both"/>
        <w:rPr>
          <w:rFonts w:ascii="Arial" w:hAnsi="Arial" w:cs="Arial"/>
        </w:rPr>
      </w:pPr>
      <w:r w:rsidRPr="004863B6">
        <w:rPr>
          <w:rFonts w:ascii="Arial" w:hAnsi="Arial" w:cs="Arial"/>
          <w:color w:val="000000"/>
          <w:spacing w:val="-7"/>
        </w:rPr>
        <w:t xml:space="preserve">La plus-value à long terme née de la cession de titres de participation est </w:t>
      </w:r>
      <w:r w:rsidRPr="00B33B94">
        <w:rPr>
          <w:rFonts w:ascii="Arial" w:hAnsi="Arial" w:cs="Arial"/>
          <w:b/>
          <w:bCs/>
          <w:color w:val="000000"/>
          <w:spacing w:val="-7"/>
        </w:rPr>
        <w:t>exonérée</w:t>
      </w:r>
      <w:r>
        <w:rPr>
          <w:rFonts w:ascii="Arial" w:hAnsi="Arial" w:cs="Arial"/>
          <w:color w:val="000000"/>
          <w:spacing w:val="-7"/>
        </w:rPr>
        <w:t xml:space="preserve"> d’imposition. Il convient de déduire extra-comptablement la plus-value de 130 000€</w:t>
      </w:r>
      <w:r w:rsidRPr="004863B6">
        <w:rPr>
          <w:rFonts w:ascii="Arial" w:hAnsi="Arial" w:cs="Arial"/>
          <w:color w:val="000000"/>
          <w:spacing w:val="-7"/>
        </w:rPr>
        <w:t xml:space="preserve"> </w:t>
      </w:r>
      <w:r w:rsidRPr="004863B6">
        <w:rPr>
          <w:rFonts w:ascii="Arial" w:hAnsi="Arial" w:cs="Arial"/>
        </w:rPr>
        <w:t xml:space="preserve"> </w:t>
      </w:r>
      <w:r w:rsidR="00B33B94">
        <w:rPr>
          <w:rFonts w:ascii="Arial" w:hAnsi="Arial" w:cs="Arial"/>
        </w:rPr>
        <w:t>(1)</w:t>
      </w:r>
    </w:p>
    <w:p w14:paraId="4AEA3CDF" w14:textId="70D830DB" w:rsidR="00D04D05" w:rsidRPr="00595FE0" w:rsidRDefault="00D04D05" w:rsidP="00D04D05">
      <w:pPr>
        <w:pStyle w:val="Paragraphedeliste"/>
        <w:numPr>
          <w:ilvl w:val="0"/>
          <w:numId w:val="9"/>
        </w:numPr>
        <w:shd w:val="clear" w:color="auto" w:fill="FFFFFF"/>
        <w:jc w:val="both"/>
        <w:rPr>
          <w:rFonts w:ascii="Arial" w:hAnsi="Arial" w:cs="Arial"/>
        </w:rPr>
      </w:pPr>
      <w:r w:rsidRPr="00595FE0">
        <w:rPr>
          <w:rFonts w:ascii="Arial" w:hAnsi="Arial" w:cs="Arial"/>
        </w:rPr>
        <w:t>U</w:t>
      </w:r>
      <w:r w:rsidRPr="00595FE0">
        <w:rPr>
          <w:rFonts w:ascii="Arial" w:hAnsi="Arial" w:cs="Arial"/>
          <w:color w:val="000000"/>
          <w:spacing w:val="-7"/>
        </w:rPr>
        <w:t xml:space="preserve">ne quote-part de frais de charges </w:t>
      </w:r>
      <w:r w:rsidR="00AE74E7" w:rsidRPr="00595FE0">
        <w:rPr>
          <w:rFonts w:ascii="Arial" w:hAnsi="Arial" w:cs="Arial"/>
          <w:color w:val="000000"/>
          <w:spacing w:val="-7"/>
        </w:rPr>
        <w:t xml:space="preserve">non déductible </w:t>
      </w:r>
      <w:r w:rsidRPr="00595FE0">
        <w:rPr>
          <w:rFonts w:ascii="Arial" w:hAnsi="Arial" w:cs="Arial"/>
          <w:color w:val="000000"/>
          <w:spacing w:val="-7"/>
        </w:rPr>
        <w:t xml:space="preserve">de </w:t>
      </w:r>
      <w:r w:rsidRPr="00595FE0">
        <w:rPr>
          <w:rFonts w:ascii="Arial" w:hAnsi="Arial" w:cs="Arial"/>
          <w:b/>
          <w:color w:val="000000"/>
          <w:spacing w:val="-7"/>
        </w:rPr>
        <w:t>12 % du montant de la plus-value</w:t>
      </w:r>
      <w:r w:rsidRPr="00595FE0">
        <w:rPr>
          <w:rFonts w:ascii="Arial" w:hAnsi="Arial" w:cs="Arial"/>
          <w:color w:val="000000"/>
          <w:spacing w:val="-7"/>
        </w:rPr>
        <w:t xml:space="preserve"> doit être réintégrée.</w:t>
      </w:r>
    </w:p>
    <w:p w14:paraId="172E20AA" w14:textId="77777777" w:rsidR="00D04D05" w:rsidRDefault="00D04D05" w:rsidP="00D04D05">
      <w:pPr>
        <w:shd w:val="clear" w:color="auto" w:fill="FFFFFF"/>
        <w:rPr>
          <w:rFonts w:ascii="Arial" w:hAnsi="Arial" w:cs="Arial"/>
          <w:color w:val="000000"/>
          <w:spacing w:val="-7"/>
          <w:sz w:val="22"/>
        </w:rPr>
      </w:pPr>
    </w:p>
    <w:p w14:paraId="5FA7D194" w14:textId="77777777" w:rsidR="00D04D05" w:rsidRPr="004863B6" w:rsidRDefault="00D04D05" w:rsidP="00D04D05">
      <w:pPr>
        <w:shd w:val="clear" w:color="auto" w:fill="FFFFFF"/>
        <w:rPr>
          <w:rFonts w:ascii="Arial" w:hAnsi="Arial" w:cs="Arial"/>
          <w:color w:val="000000"/>
          <w:spacing w:val="-7"/>
          <w:sz w:val="22"/>
          <w:u w:val="single"/>
        </w:rPr>
      </w:pPr>
      <w:r w:rsidRPr="004863B6">
        <w:rPr>
          <w:rFonts w:ascii="Arial" w:hAnsi="Arial" w:cs="Arial"/>
          <w:color w:val="000000"/>
          <w:spacing w:val="-7"/>
          <w:sz w:val="22"/>
          <w:u w:val="single"/>
        </w:rPr>
        <w:t xml:space="preserve">Plus-value à </w:t>
      </w:r>
      <w:r>
        <w:rPr>
          <w:rFonts w:ascii="Arial" w:hAnsi="Arial" w:cs="Arial"/>
          <w:color w:val="000000"/>
          <w:spacing w:val="-7"/>
          <w:sz w:val="22"/>
          <w:u w:val="single"/>
        </w:rPr>
        <w:t>court terme</w:t>
      </w:r>
      <w:r w:rsidRPr="004863B6">
        <w:rPr>
          <w:rFonts w:ascii="Arial" w:hAnsi="Arial" w:cs="Arial"/>
          <w:color w:val="000000"/>
          <w:spacing w:val="-7"/>
          <w:sz w:val="22"/>
          <w:u w:val="single"/>
        </w:rPr>
        <w:t xml:space="preserve"> de </w:t>
      </w:r>
      <w:r>
        <w:rPr>
          <w:rFonts w:ascii="Arial" w:hAnsi="Arial" w:cs="Arial"/>
          <w:color w:val="000000"/>
          <w:spacing w:val="-7"/>
          <w:sz w:val="22"/>
          <w:u w:val="single"/>
        </w:rPr>
        <w:t>1</w:t>
      </w:r>
      <w:r w:rsidRPr="004863B6">
        <w:rPr>
          <w:rFonts w:ascii="Arial" w:hAnsi="Arial" w:cs="Arial"/>
          <w:color w:val="000000"/>
          <w:spacing w:val="-7"/>
          <w:sz w:val="22"/>
          <w:u w:val="single"/>
        </w:rPr>
        <w:t>0 000 €</w:t>
      </w:r>
    </w:p>
    <w:p w14:paraId="442000F8" w14:textId="2D873B70" w:rsidR="00D04D05" w:rsidRPr="00595FE0" w:rsidRDefault="00D04D05" w:rsidP="00D04D05">
      <w:pPr>
        <w:pStyle w:val="Paragraphedeliste"/>
        <w:numPr>
          <w:ilvl w:val="0"/>
          <w:numId w:val="9"/>
        </w:numPr>
        <w:shd w:val="clear" w:color="auto" w:fill="FFFFFF"/>
        <w:rPr>
          <w:rFonts w:ascii="Arial" w:hAnsi="Arial" w:cs="Arial"/>
        </w:rPr>
      </w:pPr>
      <w:r w:rsidRPr="004863B6">
        <w:rPr>
          <w:rFonts w:ascii="Arial" w:hAnsi="Arial" w:cs="Arial"/>
          <w:color w:val="000000"/>
          <w:spacing w:val="-7"/>
        </w:rPr>
        <w:t xml:space="preserve">La plus-value à </w:t>
      </w:r>
      <w:r>
        <w:rPr>
          <w:rFonts w:ascii="Arial" w:hAnsi="Arial" w:cs="Arial"/>
          <w:color w:val="000000"/>
          <w:spacing w:val="-7"/>
        </w:rPr>
        <w:t>court terme est imposable au régime de droit commun au titre de l’exercice : aucun retraitement n’est à réaliser.</w:t>
      </w:r>
    </w:p>
    <w:p w14:paraId="547767F1" w14:textId="51417995" w:rsidR="005563E3" w:rsidRDefault="005563E3" w:rsidP="00D04D05">
      <w:pPr>
        <w:shd w:val="clear" w:color="auto" w:fill="FFFFFF"/>
        <w:rPr>
          <w:rFonts w:ascii="Arial" w:hAnsi="Arial" w:cs="Arial"/>
          <w:color w:val="000000"/>
          <w:spacing w:val="-7"/>
          <w:sz w:val="22"/>
        </w:rPr>
      </w:pPr>
    </w:p>
    <w:p w14:paraId="57E220B8" w14:textId="77777777" w:rsidR="00426536" w:rsidRDefault="00426536" w:rsidP="00D04D05">
      <w:pPr>
        <w:shd w:val="clear" w:color="auto" w:fill="FFFFFF"/>
        <w:rPr>
          <w:rFonts w:ascii="Arial" w:hAnsi="Arial" w:cs="Arial"/>
          <w:color w:val="000000"/>
          <w:spacing w:val="-7"/>
          <w:sz w:val="22"/>
        </w:rPr>
      </w:pPr>
    </w:p>
    <w:p w14:paraId="04894989" w14:textId="7EAEA539" w:rsidR="00D04D05" w:rsidRPr="00436173" w:rsidRDefault="00D04D05" w:rsidP="00436173">
      <w:pPr>
        <w:pStyle w:val="Paragraphedeliste"/>
        <w:numPr>
          <w:ilvl w:val="1"/>
          <w:numId w:val="23"/>
        </w:numPr>
        <w:spacing w:after="120" w:line="276" w:lineRule="auto"/>
        <w:rPr>
          <w:rFonts w:ascii="Arial" w:hAnsi="Arial" w:cs="Arial"/>
          <w:b/>
        </w:rPr>
      </w:pPr>
      <w:r w:rsidRPr="00436173">
        <w:rPr>
          <w:rFonts w:ascii="Arial" w:hAnsi="Arial" w:cs="Arial"/>
          <w:b/>
        </w:rPr>
        <w:t>Conseille</w:t>
      </w:r>
      <w:r w:rsidR="00436173">
        <w:rPr>
          <w:rFonts w:ascii="Arial" w:hAnsi="Arial" w:cs="Arial"/>
          <w:b/>
        </w:rPr>
        <w:t>r</w:t>
      </w:r>
      <w:r w:rsidRPr="00436173">
        <w:rPr>
          <w:rFonts w:ascii="Arial" w:hAnsi="Arial" w:cs="Arial"/>
          <w:b/>
        </w:rPr>
        <w:t xml:space="preserve"> Gérard Lauster sur l’opportunité de reporter de quelques jours la date de cession de ces titres</w:t>
      </w:r>
      <w:r w:rsidR="005163EB" w:rsidRPr="00436173">
        <w:rPr>
          <w:rFonts w:ascii="Arial" w:hAnsi="Arial" w:cs="Arial"/>
          <w:b/>
        </w:rPr>
        <w:t xml:space="preserve"> en </w:t>
      </w:r>
      <w:r w:rsidR="00436173">
        <w:rPr>
          <w:rFonts w:ascii="Arial" w:hAnsi="Arial" w:cs="Arial"/>
          <w:b/>
        </w:rPr>
        <w:t>prenant</w:t>
      </w:r>
      <w:r w:rsidR="005163EB" w:rsidRPr="00436173">
        <w:rPr>
          <w:rFonts w:ascii="Arial" w:hAnsi="Arial" w:cs="Arial"/>
          <w:b/>
        </w:rPr>
        <w:t xml:space="preserve"> soin d’argumenter</w:t>
      </w:r>
      <w:r w:rsidRPr="00436173">
        <w:rPr>
          <w:rFonts w:ascii="Arial" w:hAnsi="Arial" w:cs="Arial"/>
          <w:b/>
        </w:rPr>
        <w:t xml:space="preserve"> votre réponse.</w:t>
      </w:r>
    </w:p>
    <w:p w14:paraId="21D6CC16" w14:textId="05CEC1B7" w:rsidR="00D04D05" w:rsidRDefault="00D04D05" w:rsidP="00D04D05">
      <w:pPr>
        <w:shd w:val="clear" w:color="auto" w:fill="FFFFFF"/>
        <w:rPr>
          <w:rFonts w:ascii="Arial" w:hAnsi="Arial" w:cs="Arial"/>
          <w:color w:val="000000"/>
          <w:spacing w:val="-7"/>
          <w:sz w:val="22"/>
        </w:rPr>
      </w:pPr>
      <w:r w:rsidRPr="00B33B94">
        <w:rPr>
          <w:rFonts w:ascii="Arial" w:hAnsi="Arial" w:cs="Arial"/>
          <w:b/>
          <w:bCs/>
          <w:color w:val="000000"/>
          <w:spacing w:val="-7"/>
          <w:sz w:val="22"/>
        </w:rPr>
        <w:t>Selon les règles de droit</w:t>
      </w:r>
      <w:r>
        <w:rPr>
          <w:rFonts w:ascii="Arial" w:hAnsi="Arial" w:cs="Arial"/>
          <w:color w:val="000000"/>
          <w:spacing w:val="-7"/>
          <w:sz w:val="22"/>
        </w:rPr>
        <w:t xml:space="preserve">, les cessions de titres de participation sont qualifiées à long terme si les titres sont détenus depuis </w:t>
      </w:r>
      <w:r w:rsidR="00D202C3">
        <w:rPr>
          <w:rFonts w:ascii="Arial" w:hAnsi="Arial" w:cs="Arial"/>
          <w:color w:val="000000"/>
          <w:spacing w:val="-7"/>
          <w:sz w:val="22"/>
        </w:rPr>
        <w:t>au moins</w:t>
      </w:r>
      <w:r>
        <w:rPr>
          <w:rFonts w:ascii="Arial" w:hAnsi="Arial" w:cs="Arial"/>
          <w:color w:val="000000"/>
          <w:spacing w:val="-7"/>
          <w:sz w:val="22"/>
        </w:rPr>
        <w:t xml:space="preserve"> 2 ans et à ce titre sont exonérés d’imposition.</w:t>
      </w:r>
    </w:p>
    <w:p w14:paraId="41014060" w14:textId="77777777" w:rsidR="00326E25" w:rsidRDefault="00326E25" w:rsidP="00D04D05">
      <w:pPr>
        <w:shd w:val="clear" w:color="auto" w:fill="FFFFFF"/>
        <w:rPr>
          <w:rFonts w:ascii="Arial" w:hAnsi="Arial" w:cs="Arial"/>
          <w:b/>
          <w:bCs/>
          <w:color w:val="000000"/>
          <w:spacing w:val="-7"/>
          <w:sz w:val="22"/>
        </w:rPr>
      </w:pPr>
    </w:p>
    <w:p w14:paraId="48602E20" w14:textId="0A9292D3" w:rsidR="00D04D05" w:rsidRDefault="00D04D05" w:rsidP="00D04D05">
      <w:pPr>
        <w:shd w:val="clear" w:color="auto" w:fill="FFFFFF"/>
        <w:rPr>
          <w:rFonts w:ascii="Arial" w:hAnsi="Arial" w:cs="Arial"/>
          <w:color w:val="000000"/>
          <w:spacing w:val="-7"/>
          <w:sz w:val="22"/>
        </w:rPr>
      </w:pPr>
      <w:r w:rsidRPr="00B33B94">
        <w:rPr>
          <w:rFonts w:ascii="Arial" w:hAnsi="Arial" w:cs="Arial"/>
          <w:b/>
          <w:bCs/>
          <w:color w:val="000000"/>
          <w:spacing w:val="-7"/>
          <w:sz w:val="22"/>
        </w:rPr>
        <w:t>En l’espèce</w:t>
      </w:r>
      <w:r>
        <w:rPr>
          <w:rFonts w:ascii="Arial" w:hAnsi="Arial" w:cs="Arial"/>
          <w:color w:val="000000"/>
          <w:spacing w:val="-7"/>
          <w:sz w:val="22"/>
        </w:rPr>
        <w:t>, si Gérard Lauster décide de céder ces titres à partir du 1</w:t>
      </w:r>
      <w:r w:rsidRPr="00281D5A">
        <w:rPr>
          <w:rFonts w:ascii="Arial" w:hAnsi="Arial" w:cs="Arial"/>
          <w:color w:val="000000"/>
          <w:spacing w:val="-7"/>
          <w:sz w:val="22"/>
          <w:vertAlign w:val="superscript"/>
        </w:rPr>
        <w:t>er</w:t>
      </w:r>
      <w:r>
        <w:rPr>
          <w:rFonts w:ascii="Arial" w:hAnsi="Arial" w:cs="Arial"/>
          <w:color w:val="000000"/>
          <w:spacing w:val="-7"/>
          <w:sz w:val="22"/>
        </w:rPr>
        <w:t xml:space="preserve"> juillet 2019, l’intégralité de la </w:t>
      </w:r>
      <w:r w:rsidR="00876257">
        <w:rPr>
          <w:rFonts w:ascii="Arial" w:hAnsi="Arial" w:cs="Arial"/>
          <w:color w:val="000000"/>
          <w:spacing w:val="-7"/>
          <w:sz w:val="22"/>
        </w:rPr>
        <w:t xml:space="preserve">  </w:t>
      </w:r>
      <w:r>
        <w:rPr>
          <w:rFonts w:ascii="Arial" w:hAnsi="Arial" w:cs="Arial"/>
          <w:color w:val="000000"/>
          <w:spacing w:val="-7"/>
          <w:sz w:val="22"/>
        </w:rPr>
        <w:t xml:space="preserve">plus-value (130 000 + 10 000 = 140 000 €) sera qualifiée de plus-value à long terme car tous les titres seront détenus depuis </w:t>
      </w:r>
      <w:r w:rsidR="00D202C3">
        <w:rPr>
          <w:rFonts w:ascii="Arial" w:hAnsi="Arial" w:cs="Arial"/>
          <w:color w:val="000000"/>
          <w:spacing w:val="-7"/>
          <w:sz w:val="22"/>
        </w:rPr>
        <w:t>au moins</w:t>
      </w:r>
      <w:r>
        <w:rPr>
          <w:rFonts w:ascii="Arial" w:hAnsi="Arial" w:cs="Arial"/>
          <w:color w:val="000000"/>
          <w:spacing w:val="-7"/>
          <w:sz w:val="22"/>
        </w:rPr>
        <w:t xml:space="preserve"> 2 ans.</w:t>
      </w:r>
    </w:p>
    <w:p w14:paraId="680F791E" w14:textId="77777777" w:rsidR="00326E25" w:rsidRDefault="00326E25" w:rsidP="00D04D05">
      <w:pPr>
        <w:shd w:val="clear" w:color="auto" w:fill="FFFFFF"/>
        <w:rPr>
          <w:rFonts w:ascii="Arial" w:hAnsi="Arial" w:cs="Arial"/>
          <w:b/>
          <w:bCs/>
          <w:color w:val="000000"/>
          <w:spacing w:val="-7"/>
          <w:sz w:val="22"/>
        </w:rPr>
      </w:pPr>
    </w:p>
    <w:p w14:paraId="2CD65C11" w14:textId="057C780C" w:rsidR="00D04D05" w:rsidRDefault="00D04D05" w:rsidP="00D04D05">
      <w:pPr>
        <w:shd w:val="clear" w:color="auto" w:fill="FFFFFF"/>
        <w:rPr>
          <w:rFonts w:ascii="Arial" w:hAnsi="Arial" w:cs="Arial"/>
          <w:color w:val="000000"/>
          <w:spacing w:val="-7"/>
          <w:sz w:val="22"/>
        </w:rPr>
      </w:pPr>
      <w:r w:rsidRPr="00B33B94">
        <w:rPr>
          <w:rFonts w:ascii="Arial" w:hAnsi="Arial" w:cs="Arial"/>
          <w:b/>
          <w:bCs/>
          <w:color w:val="000000"/>
          <w:spacing w:val="-7"/>
          <w:sz w:val="22"/>
        </w:rPr>
        <w:t>En conséquence</w:t>
      </w:r>
      <w:r>
        <w:rPr>
          <w:rFonts w:ascii="Arial" w:hAnsi="Arial" w:cs="Arial"/>
          <w:color w:val="000000"/>
          <w:spacing w:val="-7"/>
          <w:sz w:val="22"/>
        </w:rPr>
        <w:t xml:space="preserve"> le produit sera exonéré d’impôts</w:t>
      </w:r>
      <w:r w:rsidR="00D202C3">
        <w:rPr>
          <w:rFonts w:ascii="Arial" w:hAnsi="Arial" w:cs="Arial"/>
          <w:color w:val="000000"/>
          <w:spacing w:val="-7"/>
          <w:sz w:val="22"/>
        </w:rPr>
        <w:t xml:space="preserve">, </w:t>
      </w:r>
      <w:r>
        <w:rPr>
          <w:rFonts w:ascii="Arial" w:hAnsi="Arial" w:cs="Arial"/>
          <w:color w:val="000000"/>
          <w:spacing w:val="-7"/>
          <w:sz w:val="22"/>
        </w:rPr>
        <w:t>à l’exception de la réintégration de la quote-part de frais et charge de 12</w:t>
      </w:r>
      <w:r w:rsidR="00876257">
        <w:rPr>
          <w:rFonts w:ascii="Arial" w:hAnsi="Arial" w:cs="Arial"/>
          <w:color w:val="000000"/>
          <w:spacing w:val="-7"/>
          <w:sz w:val="22"/>
        </w:rPr>
        <w:t xml:space="preserve"> </w:t>
      </w:r>
      <w:r>
        <w:rPr>
          <w:rFonts w:ascii="Arial" w:hAnsi="Arial" w:cs="Arial"/>
          <w:color w:val="000000"/>
          <w:spacing w:val="-7"/>
          <w:sz w:val="22"/>
        </w:rPr>
        <w:t>% du montant de la plus-value</w:t>
      </w:r>
      <w:r w:rsidR="00D202C3">
        <w:rPr>
          <w:rFonts w:ascii="Arial" w:hAnsi="Arial" w:cs="Arial"/>
          <w:color w:val="000000"/>
          <w:spacing w:val="-7"/>
          <w:sz w:val="22"/>
        </w:rPr>
        <w:t>.</w:t>
      </w:r>
    </w:p>
    <w:p w14:paraId="34A6505C" w14:textId="77777777" w:rsidR="00326E25" w:rsidRDefault="00326E25" w:rsidP="00D04D05">
      <w:pPr>
        <w:shd w:val="clear" w:color="auto" w:fill="FFFFFF"/>
        <w:rPr>
          <w:rFonts w:ascii="Arial" w:hAnsi="Arial" w:cs="Arial"/>
          <w:b/>
          <w:bCs/>
          <w:color w:val="000000"/>
          <w:spacing w:val="-7"/>
          <w:sz w:val="22"/>
        </w:rPr>
      </w:pPr>
    </w:p>
    <w:p w14:paraId="3696B4DE" w14:textId="62DB2E27" w:rsidR="00D04D05" w:rsidRPr="00006080" w:rsidRDefault="00D04D05" w:rsidP="00D04D05">
      <w:pPr>
        <w:shd w:val="clear" w:color="auto" w:fill="FFFFFF"/>
        <w:rPr>
          <w:rFonts w:ascii="Arial" w:hAnsi="Arial" w:cs="Arial"/>
          <w:color w:val="000000"/>
          <w:spacing w:val="-7"/>
          <w:sz w:val="22"/>
        </w:rPr>
      </w:pPr>
      <w:r w:rsidRPr="00B33B94">
        <w:rPr>
          <w:rFonts w:ascii="Arial" w:hAnsi="Arial" w:cs="Arial"/>
          <w:b/>
          <w:bCs/>
          <w:color w:val="000000"/>
          <w:spacing w:val="-7"/>
          <w:sz w:val="22"/>
        </w:rPr>
        <w:t>Nous conseillons</w:t>
      </w:r>
      <w:r>
        <w:rPr>
          <w:rFonts w:ascii="Arial" w:hAnsi="Arial" w:cs="Arial"/>
          <w:color w:val="000000"/>
          <w:spacing w:val="-7"/>
          <w:sz w:val="22"/>
        </w:rPr>
        <w:t xml:space="preserve"> fortement à </w:t>
      </w:r>
      <w:r w:rsidR="00876257">
        <w:rPr>
          <w:rFonts w:ascii="Arial" w:hAnsi="Arial" w:cs="Arial"/>
          <w:color w:val="000000"/>
          <w:spacing w:val="-7"/>
          <w:sz w:val="22"/>
        </w:rPr>
        <w:t>m</w:t>
      </w:r>
      <w:r>
        <w:rPr>
          <w:rFonts w:ascii="Arial" w:hAnsi="Arial" w:cs="Arial"/>
          <w:color w:val="000000"/>
          <w:spacing w:val="-7"/>
          <w:sz w:val="22"/>
        </w:rPr>
        <w:t>onsieur Gérard Lauster de différer de quelques jours la cession de</w:t>
      </w:r>
      <w:r w:rsidR="005563E3">
        <w:rPr>
          <w:rFonts w:ascii="Arial" w:hAnsi="Arial" w:cs="Arial"/>
          <w:color w:val="000000"/>
          <w:spacing w:val="-7"/>
          <w:sz w:val="22"/>
        </w:rPr>
        <w:t xml:space="preserve">s </w:t>
      </w:r>
      <w:r>
        <w:rPr>
          <w:rFonts w:ascii="Arial" w:hAnsi="Arial" w:cs="Arial"/>
          <w:color w:val="000000"/>
          <w:spacing w:val="-7"/>
          <w:sz w:val="22"/>
        </w:rPr>
        <w:t>titres d’autant que le résultat fiscal 2019 est bénéficiaire.</w:t>
      </w:r>
      <w:r>
        <w:rPr>
          <w:rFonts w:ascii="Arial" w:hAnsi="Arial" w:cs="Arial"/>
          <w:color w:val="000000"/>
          <w:spacing w:val="-7"/>
          <w:szCs w:val="24"/>
        </w:rPr>
        <w:t xml:space="preserve"> </w:t>
      </w:r>
      <w:r w:rsidRPr="00006080">
        <w:rPr>
          <w:rFonts w:ascii="Arial" w:hAnsi="Arial" w:cs="Arial"/>
          <w:color w:val="000000"/>
          <w:spacing w:val="-7"/>
          <w:sz w:val="22"/>
        </w:rPr>
        <w:t xml:space="preserve">Cela constituera donc une économie </w:t>
      </w:r>
      <w:r w:rsidR="00D202C3" w:rsidRPr="00006080">
        <w:rPr>
          <w:rFonts w:ascii="Arial" w:hAnsi="Arial" w:cs="Arial"/>
          <w:color w:val="000000"/>
          <w:spacing w:val="-7"/>
          <w:sz w:val="22"/>
        </w:rPr>
        <w:t>d’impôt.</w:t>
      </w:r>
    </w:p>
    <w:p w14:paraId="700E1D6C" w14:textId="03815EFC" w:rsidR="00D04D05" w:rsidRPr="000C3E78" w:rsidRDefault="007A649F" w:rsidP="001C270B">
      <w:pPr>
        <w:jc w:val="left"/>
        <w:rPr>
          <w:rFonts w:ascii="Arial" w:hAnsi="Arial" w:cs="Arial"/>
          <w:color w:val="000000"/>
          <w:spacing w:val="-7"/>
          <w:sz w:val="22"/>
        </w:rPr>
      </w:pPr>
      <w:r>
        <w:rPr>
          <w:rFonts w:ascii="Arial" w:hAnsi="Arial" w:cs="Arial"/>
          <w:color w:val="000000"/>
          <w:spacing w:val="-7"/>
          <w:sz w:val="22"/>
        </w:rPr>
        <w:br w:type="page"/>
      </w:r>
    </w:p>
    <w:p w14:paraId="3751FEC1" w14:textId="5709E168" w:rsidR="007A649F" w:rsidRDefault="00BC1DFA" w:rsidP="007A649F">
      <w:pPr>
        <w:pStyle w:val="Paragraphedeliste"/>
        <w:numPr>
          <w:ilvl w:val="1"/>
          <w:numId w:val="23"/>
        </w:numPr>
        <w:spacing w:after="120"/>
        <w:jc w:val="both"/>
        <w:rPr>
          <w:rFonts w:ascii="Arial" w:hAnsi="Arial" w:cs="Arial"/>
          <w:b/>
        </w:rPr>
      </w:pPr>
      <w:r w:rsidRPr="007A649F">
        <w:rPr>
          <w:rFonts w:ascii="Arial" w:hAnsi="Arial" w:cs="Arial"/>
          <w:b/>
        </w:rPr>
        <w:lastRenderedPageBreak/>
        <w:t>Calculer</w:t>
      </w:r>
      <w:r w:rsidR="007A649F" w:rsidRPr="007A649F">
        <w:rPr>
          <w:rFonts w:ascii="Arial" w:hAnsi="Arial" w:cs="Arial"/>
          <w:b/>
        </w:rPr>
        <w:t xml:space="preserve"> le montant de la dépréciation sur les titres de participation de la filiale du 5</w:t>
      </w:r>
      <w:r w:rsidR="007A649F" w:rsidRPr="007A649F">
        <w:rPr>
          <w:rFonts w:ascii="Arial" w:hAnsi="Arial" w:cs="Arial"/>
          <w:b/>
          <w:vertAlign w:val="superscript"/>
        </w:rPr>
        <w:t>ème</w:t>
      </w:r>
      <w:r w:rsidR="007A649F">
        <w:rPr>
          <w:rFonts w:ascii="Arial" w:hAnsi="Arial" w:cs="Arial"/>
          <w:b/>
        </w:rPr>
        <w:t> </w:t>
      </w:r>
      <w:r w:rsidR="007A649F" w:rsidRPr="007A649F">
        <w:rPr>
          <w:rFonts w:ascii="Arial" w:hAnsi="Arial" w:cs="Arial"/>
          <w:b/>
        </w:rPr>
        <w:t>arrondissement et exposer le traitement fiscal applicable.</w:t>
      </w:r>
    </w:p>
    <w:p w14:paraId="76442B69" w14:textId="77777777" w:rsidR="005076C9" w:rsidRPr="005076C9" w:rsidRDefault="005076C9" w:rsidP="005076C9">
      <w:pPr>
        <w:spacing w:after="120"/>
        <w:rPr>
          <w:rFonts w:ascii="Arial" w:hAnsi="Arial" w:cs="Arial"/>
          <w:b/>
        </w:rPr>
      </w:pPr>
    </w:p>
    <w:p w14:paraId="552BB17F" w14:textId="606151DD" w:rsidR="005076C9" w:rsidRPr="005076C9" w:rsidRDefault="005076C9" w:rsidP="005076C9">
      <w:pPr>
        <w:rPr>
          <w:rFonts w:ascii="Arial" w:hAnsi="Arial" w:cs="Arial"/>
          <w:sz w:val="22"/>
          <w:szCs w:val="20"/>
        </w:rPr>
      </w:pPr>
      <w:r w:rsidRPr="005076C9">
        <w:rPr>
          <w:rFonts w:ascii="Arial" w:hAnsi="Arial" w:cs="Arial"/>
          <w:b/>
          <w:bCs/>
          <w:sz w:val="22"/>
          <w:szCs w:val="20"/>
        </w:rPr>
        <w:t>Enoncé du principe :</w:t>
      </w:r>
      <w:r w:rsidRPr="005076C9">
        <w:rPr>
          <w:rFonts w:ascii="Arial" w:hAnsi="Arial" w:cs="Arial"/>
          <w:sz w:val="22"/>
          <w:szCs w:val="20"/>
        </w:rPr>
        <w:t xml:space="preserve"> à l’IS, les dépréciations sur titres de participation sont soumises au régime des plus ou moins-values professionnelles.</w:t>
      </w:r>
    </w:p>
    <w:p w14:paraId="696F51BE" w14:textId="1C339059" w:rsidR="005076C9" w:rsidRDefault="005076C9" w:rsidP="005076C9">
      <w:pPr>
        <w:spacing w:after="120" w:line="276" w:lineRule="auto"/>
        <w:rPr>
          <w:rFonts w:ascii="Arial" w:hAnsi="Arial" w:cs="Arial"/>
          <w:sz w:val="22"/>
          <w:szCs w:val="20"/>
        </w:rPr>
      </w:pPr>
      <w:r w:rsidRPr="005076C9">
        <w:rPr>
          <w:rFonts w:ascii="Arial" w:hAnsi="Arial" w:cs="Arial"/>
          <w:sz w:val="22"/>
          <w:szCs w:val="20"/>
        </w:rPr>
        <w:t xml:space="preserve">Les moins-values à long terme sont des charges </w:t>
      </w:r>
      <w:r w:rsidRPr="005076C9">
        <w:rPr>
          <w:rFonts w:ascii="Arial" w:hAnsi="Arial" w:cs="Arial"/>
          <w:b/>
          <w:bCs/>
          <w:sz w:val="22"/>
          <w:szCs w:val="20"/>
        </w:rPr>
        <w:t>non déductibles</w:t>
      </w:r>
    </w:p>
    <w:p w14:paraId="01F4EE6F" w14:textId="77777777" w:rsidR="005076C9" w:rsidRDefault="005076C9" w:rsidP="005076C9">
      <w:pPr>
        <w:spacing w:after="120" w:line="276" w:lineRule="auto"/>
        <w:rPr>
          <w:rFonts w:ascii="Arial" w:hAnsi="Arial" w:cs="Arial"/>
          <w:sz w:val="22"/>
          <w:szCs w:val="20"/>
        </w:rPr>
      </w:pPr>
    </w:p>
    <w:p w14:paraId="5C63662E" w14:textId="683F694A" w:rsidR="00EF44F7" w:rsidRPr="005076C9" w:rsidRDefault="005076C9" w:rsidP="005076C9">
      <w:pPr>
        <w:spacing w:after="120" w:line="276" w:lineRule="auto"/>
        <w:rPr>
          <w:rFonts w:ascii="Arial" w:hAnsi="Arial" w:cs="Arial"/>
          <w:sz w:val="22"/>
          <w:szCs w:val="20"/>
        </w:rPr>
      </w:pPr>
      <w:r w:rsidRPr="005076C9">
        <w:rPr>
          <w:rFonts w:ascii="Arial" w:hAnsi="Arial" w:cs="Arial"/>
          <w:b/>
          <w:bCs/>
          <w:sz w:val="22"/>
          <w:szCs w:val="20"/>
        </w:rPr>
        <w:t>Application au cas d’espèce :</w:t>
      </w:r>
      <w:r>
        <w:rPr>
          <w:rFonts w:ascii="Arial" w:hAnsi="Arial" w:cs="Arial"/>
          <w:sz w:val="22"/>
          <w:szCs w:val="20"/>
        </w:rPr>
        <w:t xml:space="preserve"> l</w:t>
      </w:r>
      <w:r w:rsidR="00EF44F7" w:rsidRPr="005076C9">
        <w:rPr>
          <w:rFonts w:ascii="Arial" w:hAnsi="Arial" w:cs="Arial"/>
          <w:sz w:val="22"/>
          <w:szCs w:val="20"/>
        </w:rPr>
        <w:t>e tableau ci-dessous</w:t>
      </w:r>
      <w:r w:rsidR="00B12C50" w:rsidRPr="005076C9">
        <w:rPr>
          <w:rFonts w:ascii="Arial" w:hAnsi="Arial" w:cs="Arial"/>
          <w:sz w:val="22"/>
          <w:szCs w:val="20"/>
        </w:rPr>
        <w:t xml:space="preserve"> permet le calcul de la dépréciation sur les titres de la filiale du 5</w:t>
      </w:r>
      <w:r w:rsidR="00B12C50" w:rsidRPr="005076C9">
        <w:rPr>
          <w:rFonts w:ascii="Arial" w:hAnsi="Arial" w:cs="Arial"/>
          <w:sz w:val="22"/>
          <w:szCs w:val="20"/>
          <w:vertAlign w:val="superscript"/>
        </w:rPr>
        <w:t>ème</w:t>
      </w:r>
      <w:r w:rsidR="00B12C50" w:rsidRPr="005076C9">
        <w:rPr>
          <w:rFonts w:ascii="Arial" w:hAnsi="Arial" w:cs="Arial"/>
          <w:sz w:val="22"/>
          <w:szCs w:val="20"/>
        </w:rPr>
        <w:t xml:space="preserve"> arrondissement.</w:t>
      </w:r>
    </w:p>
    <w:tbl>
      <w:tblPr>
        <w:tblStyle w:val="Grilledutableau1"/>
        <w:tblW w:w="0" w:type="auto"/>
        <w:jc w:val="center"/>
        <w:tblLook w:val="04A0" w:firstRow="1" w:lastRow="0" w:firstColumn="1" w:lastColumn="0" w:noHBand="0" w:noVBand="1"/>
      </w:tblPr>
      <w:tblGrid>
        <w:gridCol w:w="1365"/>
        <w:gridCol w:w="1365"/>
        <w:gridCol w:w="1549"/>
        <w:gridCol w:w="3539"/>
      </w:tblGrid>
      <w:tr w:rsidR="006049DB" w:rsidRPr="007A649F" w14:paraId="46575FB7" w14:textId="77777777" w:rsidTr="006049DB">
        <w:trPr>
          <w:jc w:val="center"/>
        </w:trPr>
        <w:tc>
          <w:tcPr>
            <w:tcW w:w="1365" w:type="dxa"/>
          </w:tcPr>
          <w:p w14:paraId="25FA5DD4" w14:textId="7D411BCB" w:rsidR="006049DB" w:rsidRPr="007A649F" w:rsidRDefault="006049DB" w:rsidP="007A649F">
            <w:pPr>
              <w:jc w:val="center"/>
              <w:rPr>
                <w:rFonts w:ascii="Arial" w:hAnsi="Arial" w:cs="Arial"/>
                <w:b/>
                <w:sz w:val="22"/>
              </w:rPr>
            </w:pPr>
            <w:r w:rsidRPr="007A649F">
              <w:rPr>
                <w:rFonts w:ascii="Arial" w:hAnsi="Arial" w:cs="Arial"/>
                <w:b/>
                <w:sz w:val="22"/>
              </w:rPr>
              <w:t>Prix d’achat</w:t>
            </w:r>
          </w:p>
        </w:tc>
        <w:tc>
          <w:tcPr>
            <w:tcW w:w="1365" w:type="dxa"/>
            <w:vAlign w:val="center"/>
          </w:tcPr>
          <w:p w14:paraId="515A0430" w14:textId="6F864579" w:rsidR="006049DB" w:rsidRPr="007A649F" w:rsidRDefault="006049DB" w:rsidP="007A649F">
            <w:pPr>
              <w:jc w:val="center"/>
              <w:rPr>
                <w:rFonts w:ascii="Arial" w:hAnsi="Arial" w:cs="Arial"/>
                <w:b/>
                <w:sz w:val="22"/>
              </w:rPr>
            </w:pPr>
            <w:r w:rsidRPr="007A649F">
              <w:rPr>
                <w:rFonts w:ascii="Arial" w:hAnsi="Arial" w:cs="Arial"/>
                <w:b/>
                <w:sz w:val="22"/>
              </w:rPr>
              <w:t>Valeur actuelle</w:t>
            </w:r>
          </w:p>
        </w:tc>
        <w:tc>
          <w:tcPr>
            <w:tcW w:w="1549" w:type="dxa"/>
            <w:vAlign w:val="center"/>
          </w:tcPr>
          <w:p w14:paraId="055F8CB1" w14:textId="5874405A" w:rsidR="006049DB" w:rsidRPr="007A649F" w:rsidRDefault="006049DB" w:rsidP="007A649F">
            <w:pPr>
              <w:jc w:val="center"/>
              <w:rPr>
                <w:rFonts w:ascii="Arial" w:hAnsi="Arial" w:cs="Arial"/>
                <w:b/>
                <w:sz w:val="22"/>
              </w:rPr>
            </w:pPr>
            <w:r>
              <w:rPr>
                <w:rFonts w:ascii="Arial" w:hAnsi="Arial" w:cs="Arial"/>
                <w:b/>
                <w:sz w:val="22"/>
              </w:rPr>
              <w:t>Dépréciation</w:t>
            </w:r>
          </w:p>
        </w:tc>
        <w:tc>
          <w:tcPr>
            <w:tcW w:w="3539" w:type="dxa"/>
            <w:vAlign w:val="center"/>
          </w:tcPr>
          <w:p w14:paraId="3DA52151" w14:textId="56A74564" w:rsidR="006049DB" w:rsidRPr="007A649F" w:rsidRDefault="006049DB" w:rsidP="007A649F">
            <w:pPr>
              <w:jc w:val="center"/>
              <w:rPr>
                <w:rFonts w:ascii="Arial" w:hAnsi="Arial" w:cs="Arial"/>
                <w:b/>
                <w:sz w:val="22"/>
              </w:rPr>
            </w:pPr>
            <w:r>
              <w:rPr>
                <w:rFonts w:ascii="Arial" w:hAnsi="Arial" w:cs="Arial"/>
                <w:b/>
                <w:sz w:val="22"/>
              </w:rPr>
              <w:t>Qualification</w:t>
            </w:r>
          </w:p>
        </w:tc>
      </w:tr>
      <w:tr w:rsidR="006049DB" w:rsidRPr="007A649F" w14:paraId="45533C34" w14:textId="77777777" w:rsidTr="00326E25">
        <w:trPr>
          <w:trHeight w:val="961"/>
          <w:jc w:val="center"/>
        </w:trPr>
        <w:tc>
          <w:tcPr>
            <w:tcW w:w="1365" w:type="dxa"/>
            <w:vAlign w:val="center"/>
          </w:tcPr>
          <w:p w14:paraId="1F7E6E82" w14:textId="76E62CED" w:rsidR="006049DB" w:rsidRPr="007A649F" w:rsidRDefault="006049DB" w:rsidP="00AB406B">
            <w:pPr>
              <w:jc w:val="center"/>
              <w:rPr>
                <w:rFonts w:ascii="Arial" w:hAnsi="Arial" w:cs="Arial"/>
                <w:sz w:val="22"/>
              </w:rPr>
            </w:pPr>
            <w:r>
              <w:rPr>
                <w:rFonts w:ascii="Arial" w:hAnsi="Arial" w:cs="Arial"/>
                <w:sz w:val="22"/>
              </w:rPr>
              <w:t>320 000 €</w:t>
            </w:r>
          </w:p>
        </w:tc>
        <w:tc>
          <w:tcPr>
            <w:tcW w:w="1365" w:type="dxa"/>
            <w:vAlign w:val="center"/>
          </w:tcPr>
          <w:p w14:paraId="20FFCCFE" w14:textId="072C0F95" w:rsidR="006049DB" w:rsidRPr="007A649F" w:rsidRDefault="006049DB" w:rsidP="00AB406B">
            <w:pPr>
              <w:jc w:val="center"/>
              <w:rPr>
                <w:rFonts w:ascii="Arial" w:hAnsi="Arial" w:cs="Arial"/>
                <w:sz w:val="22"/>
              </w:rPr>
            </w:pPr>
            <w:r>
              <w:rPr>
                <w:rFonts w:ascii="Arial" w:hAnsi="Arial" w:cs="Arial"/>
                <w:sz w:val="22"/>
              </w:rPr>
              <w:t>300 000 €</w:t>
            </w:r>
          </w:p>
        </w:tc>
        <w:tc>
          <w:tcPr>
            <w:tcW w:w="1549" w:type="dxa"/>
            <w:vAlign w:val="center"/>
          </w:tcPr>
          <w:p w14:paraId="1067FA21" w14:textId="3CA453C3" w:rsidR="006049DB" w:rsidRPr="007A649F" w:rsidRDefault="006049DB" w:rsidP="00AB406B">
            <w:pPr>
              <w:jc w:val="center"/>
              <w:rPr>
                <w:rFonts w:ascii="Arial" w:hAnsi="Arial" w:cs="Arial"/>
                <w:sz w:val="22"/>
              </w:rPr>
            </w:pPr>
            <w:r w:rsidRPr="007A649F">
              <w:rPr>
                <w:rFonts w:ascii="Arial" w:hAnsi="Arial" w:cs="Arial"/>
                <w:sz w:val="22"/>
              </w:rPr>
              <w:t>2</w:t>
            </w:r>
            <w:r>
              <w:rPr>
                <w:rFonts w:ascii="Arial" w:hAnsi="Arial" w:cs="Arial"/>
                <w:sz w:val="22"/>
              </w:rPr>
              <w:t>0 </w:t>
            </w:r>
            <w:r w:rsidRPr="007A649F">
              <w:rPr>
                <w:rFonts w:ascii="Arial" w:hAnsi="Arial" w:cs="Arial"/>
                <w:sz w:val="22"/>
              </w:rPr>
              <w:t>000</w:t>
            </w:r>
            <w:r>
              <w:rPr>
                <w:rFonts w:ascii="Arial" w:hAnsi="Arial" w:cs="Arial"/>
                <w:sz w:val="22"/>
              </w:rPr>
              <w:t xml:space="preserve"> €</w:t>
            </w:r>
          </w:p>
        </w:tc>
        <w:tc>
          <w:tcPr>
            <w:tcW w:w="3539" w:type="dxa"/>
            <w:vAlign w:val="center"/>
          </w:tcPr>
          <w:p w14:paraId="7FF36CE5" w14:textId="29FED274" w:rsidR="006049DB" w:rsidRPr="007A649F" w:rsidRDefault="006049DB" w:rsidP="006049DB">
            <w:pPr>
              <w:rPr>
                <w:rFonts w:ascii="Arial" w:hAnsi="Arial" w:cs="Arial"/>
                <w:sz w:val="22"/>
              </w:rPr>
            </w:pPr>
            <w:r>
              <w:rPr>
                <w:rFonts w:ascii="Arial" w:hAnsi="Arial" w:cs="Arial"/>
                <w:sz w:val="22"/>
              </w:rPr>
              <w:t xml:space="preserve">Titres de participation détenus depuis au moins 2 ans. Il s’agit </w:t>
            </w:r>
            <w:r w:rsidR="00BC1DFA">
              <w:rPr>
                <w:rFonts w:ascii="Arial" w:hAnsi="Arial" w:cs="Arial"/>
                <w:sz w:val="22"/>
              </w:rPr>
              <w:t>d’une moins-value</w:t>
            </w:r>
            <w:r>
              <w:rPr>
                <w:rFonts w:ascii="Arial" w:hAnsi="Arial" w:cs="Arial"/>
                <w:sz w:val="22"/>
              </w:rPr>
              <w:t xml:space="preserve"> à long terme</w:t>
            </w:r>
            <w:r w:rsidR="006A15C6">
              <w:rPr>
                <w:rFonts w:ascii="Arial" w:hAnsi="Arial" w:cs="Arial"/>
                <w:sz w:val="22"/>
              </w:rPr>
              <w:t>.</w:t>
            </w:r>
          </w:p>
        </w:tc>
      </w:tr>
    </w:tbl>
    <w:p w14:paraId="7BD20E2B" w14:textId="77777777" w:rsidR="006049DB" w:rsidRDefault="006049DB" w:rsidP="00DD6EA8">
      <w:pPr>
        <w:rPr>
          <w:rFonts w:ascii="Arial" w:hAnsi="Arial" w:cs="Arial"/>
          <w:sz w:val="22"/>
        </w:rPr>
      </w:pPr>
    </w:p>
    <w:p w14:paraId="1C2EF101" w14:textId="77777777" w:rsidR="005076C9" w:rsidRPr="005076C9" w:rsidRDefault="005076C9" w:rsidP="00426536">
      <w:pPr>
        <w:rPr>
          <w:rFonts w:ascii="Arial" w:hAnsi="Arial" w:cs="Arial"/>
          <w:b/>
          <w:bCs/>
          <w:sz w:val="22"/>
        </w:rPr>
      </w:pPr>
      <w:r w:rsidRPr="005076C9">
        <w:rPr>
          <w:rFonts w:ascii="Arial" w:hAnsi="Arial" w:cs="Arial"/>
          <w:b/>
          <w:bCs/>
          <w:sz w:val="22"/>
        </w:rPr>
        <w:t xml:space="preserve">Conséquences : </w:t>
      </w:r>
    </w:p>
    <w:p w14:paraId="407F9778" w14:textId="7C302292" w:rsidR="001C270B" w:rsidRDefault="005076C9" w:rsidP="00426536">
      <w:pPr>
        <w:rPr>
          <w:rFonts w:ascii="Arial" w:hAnsi="Arial" w:cs="Arial"/>
          <w:sz w:val="22"/>
        </w:rPr>
      </w:pPr>
      <w:r>
        <w:rPr>
          <w:rFonts w:ascii="Arial" w:hAnsi="Arial" w:cs="Arial"/>
          <w:sz w:val="22"/>
        </w:rPr>
        <w:t xml:space="preserve">La moins-value issue de la dépréciation des titres est </w:t>
      </w:r>
      <w:r w:rsidR="001C270B">
        <w:rPr>
          <w:rFonts w:ascii="Arial" w:hAnsi="Arial" w:cs="Arial"/>
          <w:sz w:val="22"/>
        </w:rPr>
        <w:t>soit :</w:t>
      </w:r>
    </w:p>
    <w:p w14:paraId="4702DCB5" w14:textId="23567E48" w:rsidR="001C270B" w:rsidRPr="001C270B" w:rsidRDefault="001C270B" w:rsidP="001C270B">
      <w:pPr>
        <w:pStyle w:val="Paragraphedeliste"/>
        <w:numPr>
          <w:ilvl w:val="0"/>
          <w:numId w:val="26"/>
        </w:numPr>
        <w:ind w:left="426"/>
        <w:rPr>
          <w:rFonts w:ascii="Arial" w:hAnsi="Arial" w:cs="Arial"/>
        </w:rPr>
      </w:pPr>
      <w:r w:rsidRPr="001C270B">
        <w:rPr>
          <w:rFonts w:ascii="Arial" w:hAnsi="Arial" w:cs="Arial"/>
        </w:rPr>
        <w:t>A réintégrer extra-comptablement en l’absence d</w:t>
      </w:r>
      <w:r w:rsidR="005076C9">
        <w:rPr>
          <w:rFonts w:ascii="Arial" w:hAnsi="Arial" w:cs="Arial"/>
        </w:rPr>
        <w:t>’autres plus</w:t>
      </w:r>
      <w:r w:rsidRPr="001C270B">
        <w:rPr>
          <w:rFonts w:ascii="Arial" w:hAnsi="Arial" w:cs="Arial"/>
        </w:rPr>
        <w:t>-values à LT de même nature dégagées au cours de l’exercice,</w:t>
      </w:r>
    </w:p>
    <w:p w14:paraId="2D3901B2" w14:textId="2AB58EF9" w:rsidR="001C270B" w:rsidRPr="001C270B" w:rsidRDefault="001C270B" w:rsidP="001C270B">
      <w:pPr>
        <w:pStyle w:val="Paragraphedeliste"/>
        <w:numPr>
          <w:ilvl w:val="0"/>
          <w:numId w:val="26"/>
        </w:numPr>
        <w:ind w:left="426"/>
        <w:rPr>
          <w:rFonts w:ascii="Arial" w:hAnsi="Arial" w:cs="Arial"/>
          <w:color w:val="FF0000"/>
        </w:rPr>
      </w:pPr>
      <w:r w:rsidRPr="001C270B">
        <w:rPr>
          <w:rFonts w:ascii="Arial" w:hAnsi="Arial" w:cs="Arial"/>
        </w:rPr>
        <w:t>Compensées avec des plus-values à LT de même nature dégagées au cours de l’exercice. En l’espèce, une plus-value LT de 130 000 € dégagée sur la cession des titres de participation permet de déterminer une plus-value nette LT de 110 000 € (130 000 – 20 000). Cette PVLT n’est pas imposable donc à déduire extra-comptablement.</w:t>
      </w:r>
    </w:p>
    <w:p w14:paraId="29580625" w14:textId="77777777" w:rsidR="001C270B" w:rsidRDefault="001C270B" w:rsidP="00426536">
      <w:pPr>
        <w:rPr>
          <w:rFonts w:ascii="Arial" w:hAnsi="Arial" w:cs="Arial"/>
          <w:color w:val="FF0000"/>
          <w:sz w:val="22"/>
        </w:rPr>
      </w:pPr>
    </w:p>
    <w:p w14:paraId="355FB13B" w14:textId="77777777" w:rsidR="001C6BA8" w:rsidRDefault="001C6BA8" w:rsidP="001C6BA8">
      <w:pPr>
        <w:rPr>
          <w:rFonts w:ascii="Arial" w:hAnsi="Arial" w:cs="Arial"/>
          <w:b/>
          <w:sz w:val="22"/>
        </w:rPr>
      </w:pPr>
    </w:p>
    <w:p w14:paraId="19944205" w14:textId="18B9D496" w:rsidR="001C6BA8" w:rsidRDefault="001C6BA8" w:rsidP="001C6BA8">
      <w:pPr>
        <w:rPr>
          <w:rFonts w:ascii="Arial" w:hAnsi="Arial" w:cs="Arial"/>
          <w:b/>
          <w:sz w:val="22"/>
        </w:rPr>
      </w:pPr>
      <w:r w:rsidRPr="006A15C6">
        <w:rPr>
          <w:rFonts w:ascii="Arial" w:hAnsi="Arial" w:cs="Arial"/>
          <w:b/>
          <w:sz w:val="22"/>
        </w:rPr>
        <w:t>2</w:t>
      </w:r>
      <w:r w:rsidRPr="006A15C6">
        <w:rPr>
          <w:rFonts w:ascii="Arial" w:hAnsi="Arial" w:cs="Arial"/>
          <w:b/>
          <w:sz w:val="22"/>
          <w:vertAlign w:val="superscript"/>
        </w:rPr>
        <w:t>ème</w:t>
      </w:r>
      <w:r w:rsidRPr="006A15C6">
        <w:rPr>
          <w:rFonts w:ascii="Arial" w:hAnsi="Arial" w:cs="Arial"/>
          <w:b/>
          <w:sz w:val="22"/>
        </w:rPr>
        <w:t xml:space="preserve"> mission : procédure de rescrit.</w:t>
      </w:r>
    </w:p>
    <w:p w14:paraId="13CC662D" w14:textId="23789973" w:rsidR="001C6BA8" w:rsidRDefault="001C6BA8" w:rsidP="001C6BA8">
      <w:pPr>
        <w:rPr>
          <w:rFonts w:ascii="Arial" w:hAnsi="Arial" w:cs="Arial"/>
          <w:b/>
          <w:sz w:val="22"/>
        </w:rPr>
      </w:pPr>
    </w:p>
    <w:p w14:paraId="7995740C" w14:textId="5A1F3CE4" w:rsidR="00D04D05" w:rsidRPr="00E95258" w:rsidRDefault="00B17C00" w:rsidP="00E95258">
      <w:pPr>
        <w:pStyle w:val="Paragraphedeliste"/>
        <w:numPr>
          <w:ilvl w:val="1"/>
          <w:numId w:val="23"/>
        </w:numPr>
        <w:spacing w:after="120" w:line="276" w:lineRule="auto"/>
        <w:rPr>
          <w:rFonts w:ascii="Arial" w:hAnsi="Arial" w:cs="Arial"/>
          <w:b/>
        </w:rPr>
      </w:pPr>
      <w:r w:rsidRPr="00F277DB">
        <w:rPr>
          <w:rFonts w:ascii="Arial" w:hAnsi="Arial" w:cs="Arial"/>
          <w:b/>
        </w:rPr>
        <w:t xml:space="preserve">Justifier l’intérêt pour la SA Lauster de recourir à </w:t>
      </w:r>
      <w:r>
        <w:rPr>
          <w:rFonts w:ascii="Arial" w:hAnsi="Arial" w:cs="Arial"/>
          <w:b/>
        </w:rPr>
        <w:t>une procédure de rescrit fiscal</w:t>
      </w:r>
      <w:r w:rsidRPr="00F277DB">
        <w:rPr>
          <w:rFonts w:ascii="Arial" w:hAnsi="Arial" w:cs="Arial"/>
          <w:b/>
        </w:rPr>
        <w:t>.</w:t>
      </w:r>
    </w:p>
    <w:p w14:paraId="2001AA60" w14:textId="696175B1" w:rsidR="0078694A" w:rsidRDefault="0078694A" w:rsidP="00D04D05">
      <w:pPr>
        <w:tabs>
          <w:tab w:val="left" w:pos="851"/>
          <w:tab w:val="left" w:pos="1418"/>
        </w:tabs>
        <w:rPr>
          <w:rFonts w:ascii="Arial" w:hAnsi="Arial" w:cs="Arial"/>
          <w:bCs/>
          <w:color w:val="000000"/>
          <w:sz w:val="22"/>
        </w:rPr>
      </w:pPr>
      <w:r w:rsidRPr="0078694A">
        <w:rPr>
          <w:rFonts w:ascii="Arial" w:hAnsi="Arial" w:cs="Arial"/>
          <w:b/>
          <w:color w:val="000000"/>
          <w:sz w:val="22"/>
        </w:rPr>
        <w:t>Principe :</w:t>
      </w:r>
      <w:r>
        <w:rPr>
          <w:rFonts w:ascii="Arial" w:hAnsi="Arial" w:cs="Arial"/>
          <w:bCs/>
          <w:color w:val="000000"/>
          <w:sz w:val="22"/>
        </w:rPr>
        <w:t xml:space="preserve"> </w:t>
      </w:r>
      <w:r w:rsidR="00D04D05" w:rsidRPr="007C6734">
        <w:rPr>
          <w:rFonts w:ascii="Arial" w:hAnsi="Arial" w:cs="Arial"/>
          <w:bCs/>
          <w:color w:val="000000"/>
          <w:sz w:val="22"/>
        </w:rPr>
        <w:t xml:space="preserve">La prise de position engage l’administration et limite son droit de remettre en cause la situation fiscale du contribuable. </w:t>
      </w:r>
    </w:p>
    <w:p w14:paraId="30106C4D" w14:textId="77777777" w:rsidR="0078694A" w:rsidRDefault="0078694A" w:rsidP="00D04D05">
      <w:pPr>
        <w:tabs>
          <w:tab w:val="left" w:pos="851"/>
          <w:tab w:val="left" w:pos="1418"/>
        </w:tabs>
        <w:rPr>
          <w:rFonts w:ascii="Arial" w:hAnsi="Arial" w:cs="Arial"/>
          <w:bCs/>
          <w:color w:val="000000"/>
          <w:sz w:val="22"/>
        </w:rPr>
      </w:pPr>
    </w:p>
    <w:p w14:paraId="00F65046" w14:textId="77777777" w:rsidR="0078694A" w:rsidRDefault="00D04D05" w:rsidP="00D04D05">
      <w:pPr>
        <w:tabs>
          <w:tab w:val="left" w:pos="851"/>
          <w:tab w:val="left" w:pos="1418"/>
        </w:tabs>
        <w:rPr>
          <w:rFonts w:ascii="Arial" w:hAnsi="Arial" w:cs="Arial"/>
          <w:bCs/>
          <w:color w:val="000000"/>
          <w:sz w:val="22"/>
        </w:rPr>
      </w:pPr>
      <w:r w:rsidRPr="0078694A">
        <w:rPr>
          <w:rFonts w:ascii="Arial" w:hAnsi="Arial" w:cs="Arial"/>
          <w:b/>
          <w:color w:val="000000"/>
          <w:sz w:val="22"/>
        </w:rPr>
        <w:t>En l’espèce,</w:t>
      </w:r>
      <w:r w:rsidRPr="007C6734">
        <w:rPr>
          <w:rFonts w:ascii="Arial" w:hAnsi="Arial" w:cs="Arial"/>
          <w:bCs/>
          <w:color w:val="000000"/>
          <w:sz w:val="22"/>
        </w:rPr>
        <w:t xml:space="preserve"> la réponse de l’administration en matière de choix de taux de TVA sur les </w:t>
      </w:r>
      <w:r w:rsidR="00752BA6">
        <w:rPr>
          <w:rFonts w:ascii="Arial" w:hAnsi="Arial" w:cs="Arial"/>
          <w:bCs/>
          <w:color w:val="000000"/>
          <w:sz w:val="22"/>
        </w:rPr>
        <w:t xml:space="preserve">ballottins de </w:t>
      </w:r>
      <w:r w:rsidRPr="007C6734">
        <w:rPr>
          <w:rFonts w:ascii="Arial" w:hAnsi="Arial" w:cs="Arial"/>
          <w:bCs/>
          <w:color w:val="000000"/>
          <w:sz w:val="22"/>
        </w:rPr>
        <w:t xml:space="preserve">chocolats commercialisés permettra </w:t>
      </w:r>
      <w:r w:rsidR="00752BA6">
        <w:rPr>
          <w:rFonts w:ascii="Arial" w:hAnsi="Arial" w:cs="Arial"/>
          <w:bCs/>
          <w:color w:val="000000"/>
          <w:sz w:val="22"/>
        </w:rPr>
        <w:t>à la SA Lauster</w:t>
      </w:r>
      <w:r w:rsidRPr="007C6734">
        <w:rPr>
          <w:rFonts w:ascii="Arial" w:hAnsi="Arial" w:cs="Arial"/>
          <w:bCs/>
          <w:color w:val="000000"/>
          <w:sz w:val="22"/>
        </w:rPr>
        <w:t xml:space="preserve"> d’éviter toute procédure de rehaussement d’imposition en cas d’erreur sur le taux de TVA appliqué. </w:t>
      </w:r>
    </w:p>
    <w:p w14:paraId="2FF70D05" w14:textId="77777777" w:rsidR="0078694A" w:rsidRDefault="0078694A" w:rsidP="00D04D05">
      <w:pPr>
        <w:tabs>
          <w:tab w:val="left" w:pos="851"/>
          <w:tab w:val="left" w:pos="1418"/>
        </w:tabs>
        <w:rPr>
          <w:rFonts w:ascii="Arial" w:hAnsi="Arial" w:cs="Arial"/>
          <w:bCs/>
          <w:color w:val="000000"/>
          <w:sz w:val="22"/>
        </w:rPr>
      </w:pPr>
    </w:p>
    <w:p w14:paraId="7591E120" w14:textId="3C50303F" w:rsidR="00D04D05" w:rsidRPr="007C6734" w:rsidRDefault="0078694A" w:rsidP="00D04D05">
      <w:pPr>
        <w:tabs>
          <w:tab w:val="left" w:pos="851"/>
          <w:tab w:val="left" w:pos="1418"/>
        </w:tabs>
        <w:rPr>
          <w:rFonts w:ascii="Arial" w:hAnsi="Arial" w:cs="Arial"/>
          <w:bCs/>
          <w:color w:val="000000"/>
          <w:sz w:val="22"/>
        </w:rPr>
      </w:pPr>
      <w:r w:rsidRPr="0078694A">
        <w:rPr>
          <w:rFonts w:ascii="Arial" w:hAnsi="Arial" w:cs="Arial"/>
          <w:b/>
          <w:color w:val="000000"/>
          <w:sz w:val="22"/>
        </w:rPr>
        <w:t>Conclusion :</w:t>
      </w:r>
      <w:r>
        <w:rPr>
          <w:rFonts w:ascii="Arial" w:hAnsi="Arial" w:cs="Arial"/>
          <w:bCs/>
          <w:color w:val="000000"/>
          <w:sz w:val="22"/>
        </w:rPr>
        <w:t xml:space="preserve"> c</w:t>
      </w:r>
      <w:r w:rsidR="00D04D05" w:rsidRPr="007C6734">
        <w:rPr>
          <w:rFonts w:ascii="Arial" w:hAnsi="Arial" w:cs="Arial"/>
          <w:bCs/>
          <w:color w:val="000000"/>
          <w:sz w:val="22"/>
        </w:rPr>
        <w:t>’est donc une procédure de sécurisation car la réponse est opposable aux tiers.</w:t>
      </w:r>
    </w:p>
    <w:p w14:paraId="787670B3" w14:textId="3B1F89C7" w:rsidR="00D04D05" w:rsidRDefault="00D04D05" w:rsidP="00D04D05">
      <w:pPr>
        <w:pStyle w:val="Paragraphedeliste"/>
        <w:spacing w:after="120" w:line="276" w:lineRule="auto"/>
        <w:jc w:val="both"/>
        <w:rPr>
          <w:rFonts w:ascii="Arial" w:hAnsi="Arial" w:cs="Arial"/>
        </w:rPr>
      </w:pPr>
    </w:p>
    <w:p w14:paraId="72CE6867" w14:textId="6AF24AEB" w:rsidR="00D04D05" w:rsidRDefault="00D04D05" w:rsidP="00426536">
      <w:pPr>
        <w:pStyle w:val="Paragraphedeliste"/>
        <w:numPr>
          <w:ilvl w:val="1"/>
          <w:numId w:val="23"/>
        </w:numPr>
        <w:rPr>
          <w:rFonts w:ascii="Arial" w:hAnsi="Arial" w:cs="Arial"/>
          <w:b/>
        </w:rPr>
      </w:pPr>
      <w:r w:rsidRPr="006F08F0">
        <w:rPr>
          <w:rFonts w:ascii="Arial" w:hAnsi="Arial" w:cs="Arial"/>
          <w:b/>
        </w:rPr>
        <w:t>Rédige</w:t>
      </w:r>
      <w:r w:rsidR="00034B0D">
        <w:rPr>
          <w:rFonts w:ascii="Arial" w:hAnsi="Arial" w:cs="Arial"/>
          <w:b/>
        </w:rPr>
        <w:t>r</w:t>
      </w:r>
      <w:r w:rsidRPr="006F08F0">
        <w:rPr>
          <w:rFonts w:ascii="Arial" w:hAnsi="Arial" w:cs="Arial"/>
          <w:b/>
        </w:rPr>
        <w:t xml:space="preserve"> la « présentation de la situation de fait » qui justifie le rescrit fiscal (</w:t>
      </w:r>
      <w:r w:rsidR="00525645" w:rsidRPr="006F08F0">
        <w:rPr>
          <w:rFonts w:ascii="Arial" w:hAnsi="Arial" w:cs="Arial"/>
          <w:b/>
        </w:rPr>
        <w:t>point 2</w:t>
      </w:r>
      <w:r w:rsidRPr="006F08F0">
        <w:rPr>
          <w:rFonts w:ascii="Arial" w:hAnsi="Arial" w:cs="Arial"/>
          <w:b/>
        </w:rPr>
        <w:t xml:space="preserve"> du </w:t>
      </w:r>
      <w:r w:rsidR="006F08F0">
        <w:rPr>
          <w:rFonts w:ascii="Arial" w:hAnsi="Arial" w:cs="Arial"/>
          <w:b/>
        </w:rPr>
        <w:t>document 5</w:t>
      </w:r>
      <w:r w:rsidRPr="006F08F0">
        <w:rPr>
          <w:rFonts w:ascii="Arial" w:hAnsi="Arial" w:cs="Arial"/>
          <w:b/>
        </w:rPr>
        <w:t>).</w:t>
      </w:r>
    </w:p>
    <w:p w14:paraId="751D01C1" w14:textId="77777777" w:rsidR="00426536" w:rsidRPr="006F08F0" w:rsidRDefault="00426536" w:rsidP="00426536">
      <w:pPr>
        <w:pStyle w:val="Paragraphedeliste"/>
        <w:rPr>
          <w:rFonts w:ascii="Arial" w:hAnsi="Arial" w:cs="Arial"/>
          <w:b/>
        </w:rPr>
      </w:pPr>
    </w:p>
    <w:p w14:paraId="1C356D8E" w14:textId="11C213C5" w:rsidR="006E72DD" w:rsidRDefault="00D04D05" w:rsidP="00752BA6">
      <w:pPr>
        <w:tabs>
          <w:tab w:val="left" w:pos="851"/>
          <w:tab w:val="left" w:pos="1418"/>
        </w:tabs>
        <w:rPr>
          <w:rFonts w:ascii="Arial" w:hAnsi="Arial" w:cs="Arial"/>
          <w:bCs/>
          <w:color w:val="000000"/>
          <w:sz w:val="22"/>
        </w:rPr>
      </w:pPr>
      <w:r w:rsidRPr="00752BA6">
        <w:rPr>
          <w:rFonts w:ascii="Arial" w:hAnsi="Arial" w:cs="Arial"/>
          <w:bCs/>
          <w:color w:val="000000"/>
          <w:sz w:val="22"/>
        </w:rPr>
        <w:t>Nous exerçons notre activité dans le domaine de la boulangerie-pâtisserie</w:t>
      </w:r>
      <w:r w:rsidR="00752BA6" w:rsidRPr="00752BA6">
        <w:rPr>
          <w:rFonts w:ascii="Arial" w:hAnsi="Arial" w:cs="Arial"/>
          <w:bCs/>
          <w:color w:val="000000"/>
          <w:sz w:val="22"/>
        </w:rPr>
        <w:t>-chocolaterie</w:t>
      </w:r>
      <w:r w:rsidR="00752BA6">
        <w:rPr>
          <w:rFonts w:ascii="Arial" w:hAnsi="Arial" w:cs="Arial"/>
          <w:bCs/>
          <w:color w:val="000000"/>
          <w:sz w:val="22"/>
        </w:rPr>
        <w:t xml:space="preserve">. A ce titre, nous produisons actuellement des tablettes de chocolat noir que nous revendons à nos filiales de distribution. Nous envisageons de produire et commercialiser dans les mois à venir des ballottins de chocolats avec un assortiment </w:t>
      </w:r>
      <w:r w:rsidR="006E72DD">
        <w:rPr>
          <w:rFonts w:ascii="Arial" w:hAnsi="Arial" w:cs="Arial"/>
          <w:bCs/>
          <w:color w:val="000000"/>
          <w:sz w:val="22"/>
        </w:rPr>
        <w:t xml:space="preserve">de chocolats </w:t>
      </w:r>
      <w:r w:rsidR="00752BA6">
        <w:rPr>
          <w:rFonts w:ascii="Arial" w:hAnsi="Arial" w:cs="Arial"/>
          <w:bCs/>
          <w:color w:val="000000"/>
          <w:sz w:val="22"/>
        </w:rPr>
        <w:t xml:space="preserve">blanc, lait, praliné et noir. </w:t>
      </w:r>
    </w:p>
    <w:p w14:paraId="4A6BF049" w14:textId="3F7CDFBC" w:rsidR="00D04D05" w:rsidRPr="000C3E78" w:rsidRDefault="00752BA6" w:rsidP="00752BA6">
      <w:pPr>
        <w:tabs>
          <w:tab w:val="left" w:pos="851"/>
          <w:tab w:val="left" w:pos="1418"/>
        </w:tabs>
        <w:rPr>
          <w:rFonts w:ascii="Arial" w:hAnsi="Arial" w:cs="Arial"/>
          <w:bCs/>
          <w:color w:val="000000"/>
          <w:sz w:val="22"/>
        </w:rPr>
      </w:pPr>
      <w:r>
        <w:rPr>
          <w:rFonts w:ascii="Arial" w:hAnsi="Arial" w:cs="Arial"/>
          <w:bCs/>
          <w:color w:val="000000"/>
          <w:sz w:val="22"/>
        </w:rPr>
        <w:t>Selon l’article 2</w:t>
      </w:r>
      <w:r w:rsidR="00426536">
        <w:rPr>
          <w:rFonts w:ascii="Arial" w:hAnsi="Arial" w:cs="Arial"/>
          <w:bCs/>
          <w:color w:val="000000"/>
          <w:sz w:val="22"/>
        </w:rPr>
        <w:t>78- 0 bis,</w:t>
      </w:r>
      <w:r w:rsidRPr="00752BA6">
        <w:rPr>
          <w:rFonts w:ascii="Arial" w:hAnsi="Arial" w:cs="Arial"/>
          <w:bCs/>
          <w:color w:val="000000"/>
          <w:sz w:val="22"/>
        </w:rPr>
        <w:t xml:space="preserve"> A-1° -b du Code Général des Impôts, les chocolats </w:t>
      </w:r>
      <w:r w:rsidR="006E72DD">
        <w:rPr>
          <w:rFonts w:ascii="Arial" w:hAnsi="Arial" w:cs="Arial"/>
          <w:bCs/>
          <w:color w:val="000000"/>
          <w:sz w:val="22"/>
        </w:rPr>
        <w:t>peuvent relever de taux différents (normal et réduit)</w:t>
      </w:r>
      <w:r w:rsidRPr="00752BA6">
        <w:rPr>
          <w:rFonts w:ascii="Arial" w:hAnsi="Arial" w:cs="Arial"/>
          <w:bCs/>
          <w:color w:val="000000"/>
          <w:sz w:val="22"/>
        </w:rPr>
        <w:t xml:space="preserve">. </w:t>
      </w:r>
    </w:p>
    <w:p w14:paraId="29EE0500" w14:textId="5D8C4B15" w:rsidR="00D04D05" w:rsidRDefault="00D04D05" w:rsidP="00D04D05">
      <w:pPr>
        <w:tabs>
          <w:tab w:val="left" w:pos="851"/>
          <w:tab w:val="left" w:pos="1418"/>
        </w:tabs>
        <w:rPr>
          <w:rFonts w:ascii="Arial" w:hAnsi="Arial" w:cs="Arial"/>
          <w:b/>
          <w:bCs/>
          <w:color w:val="000000"/>
          <w:sz w:val="22"/>
        </w:rPr>
      </w:pPr>
    </w:p>
    <w:p w14:paraId="6E69DCD7" w14:textId="456D3657" w:rsidR="00525645" w:rsidRPr="00034B0D" w:rsidRDefault="00525645" w:rsidP="00034B0D">
      <w:pPr>
        <w:pStyle w:val="Paragraphedeliste"/>
        <w:numPr>
          <w:ilvl w:val="1"/>
          <w:numId w:val="23"/>
        </w:numPr>
        <w:spacing w:after="120" w:line="276" w:lineRule="auto"/>
        <w:rPr>
          <w:rFonts w:ascii="Arial" w:hAnsi="Arial" w:cs="Arial"/>
          <w:b/>
        </w:rPr>
      </w:pPr>
      <w:r w:rsidRPr="00034B0D">
        <w:rPr>
          <w:rFonts w:ascii="Arial" w:hAnsi="Arial" w:cs="Arial"/>
          <w:b/>
        </w:rPr>
        <w:t>Rédige</w:t>
      </w:r>
      <w:r w:rsidR="00034B0D">
        <w:rPr>
          <w:rFonts w:ascii="Arial" w:hAnsi="Arial" w:cs="Arial"/>
          <w:b/>
        </w:rPr>
        <w:t>r</w:t>
      </w:r>
      <w:r w:rsidRPr="00034B0D">
        <w:rPr>
          <w:rFonts w:ascii="Arial" w:hAnsi="Arial" w:cs="Arial"/>
          <w:b/>
        </w:rPr>
        <w:t xml:space="preserve"> la « question posée » relative au point 4 du </w:t>
      </w:r>
      <w:r w:rsidR="00034B0D">
        <w:rPr>
          <w:rFonts w:ascii="Arial" w:hAnsi="Arial" w:cs="Arial"/>
          <w:b/>
        </w:rPr>
        <w:t>document 5</w:t>
      </w:r>
      <w:r w:rsidRPr="00034B0D">
        <w:rPr>
          <w:rFonts w:ascii="Arial" w:hAnsi="Arial" w:cs="Arial"/>
          <w:b/>
        </w:rPr>
        <w:t>.</w:t>
      </w:r>
    </w:p>
    <w:p w14:paraId="01A189D8" w14:textId="71AA2FD6" w:rsidR="00D04D05" w:rsidRDefault="00525645" w:rsidP="003275F1">
      <w:pPr>
        <w:tabs>
          <w:tab w:val="left" w:pos="851"/>
          <w:tab w:val="left" w:pos="1418"/>
        </w:tabs>
        <w:rPr>
          <w:rFonts w:ascii="Arial" w:hAnsi="Arial" w:cs="Arial"/>
          <w:bCs/>
          <w:color w:val="000000"/>
          <w:sz w:val="22"/>
        </w:rPr>
      </w:pPr>
      <w:r>
        <w:rPr>
          <w:rFonts w:ascii="Arial" w:hAnsi="Arial" w:cs="Arial"/>
          <w:bCs/>
          <w:color w:val="000000"/>
          <w:sz w:val="22"/>
        </w:rPr>
        <w:t>Quel est le taux de TVA à appliquer à la vente des ballottins de chocolat ?</w:t>
      </w:r>
    </w:p>
    <w:p w14:paraId="4AD65CF5" w14:textId="1CB9107A" w:rsidR="00C54179" w:rsidRDefault="00C54179" w:rsidP="003275F1">
      <w:pPr>
        <w:tabs>
          <w:tab w:val="left" w:pos="851"/>
          <w:tab w:val="left" w:pos="1418"/>
        </w:tabs>
        <w:rPr>
          <w:rFonts w:ascii="Arial" w:hAnsi="Arial" w:cs="Arial"/>
          <w:bCs/>
          <w:color w:val="000000"/>
          <w:sz w:val="22"/>
        </w:rPr>
      </w:pPr>
    </w:p>
    <w:p w14:paraId="02B9DA43" w14:textId="77777777" w:rsidR="00C54179" w:rsidRDefault="00C54179" w:rsidP="003275F1">
      <w:pPr>
        <w:tabs>
          <w:tab w:val="left" w:pos="851"/>
          <w:tab w:val="left" w:pos="1418"/>
        </w:tabs>
        <w:rPr>
          <w:rFonts w:ascii="Arial" w:hAnsi="Arial" w:cs="Arial"/>
          <w:bCs/>
          <w:color w:val="000000"/>
          <w:sz w:val="22"/>
        </w:rPr>
      </w:pPr>
    </w:p>
    <w:p w14:paraId="371DEA69" w14:textId="0AAED176" w:rsidR="002651A7" w:rsidRDefault="002651A7">
      <w:pPr>
        <w:jc w:val="left"/>
        <w:rPr>
          <w:rFonts w:ascii="Arial" w:hAnsi="Arial" w:cs="Arial"/>
          <w:bCs/>
          <w:color w:val="000000"/>
          <w:sz w:val="22"/>
        </w:rPr>
      </w:pPr>
    </w:p>
    <w:p w14:paraId="021B66A8" w14:textId="77777777" w:rsidR="00083FBE" w:rsidRPr="00876257" w:rsidRDefault="00083FBE" w:rsidP="003275F1">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bCs/>
          <w:color w:val="000000"/>
          <w:szCs w:val="24"/>
        </w:rPr>
      </w:pPr>
    </w:p>
    <w:p w14:paraId="703DFF4A" w14:textId="3FD47246" w:rsidR="003275F1" w:rsidRPr="00876257" w:rsidRDefault="003275F1" w:rsidP="003275F1">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bCs/>
          <w:color w:val="000000"/>
          <w:szCs w:val="24"/>
        </w:rPr>
      </w:pPr>
      <w:r w:rsidRPr="00876257">
        <w:rPr>
          <w:rFonts w:ascii="Arial" w:hAnsi="Arial" w:cs="Arial"/>
          <w:b/>
          <w:bCs/>
          <w:color w:val="000000"/>
          <w:szCs w:val="24"/>
        </w:rPr>
        <w:t>DOSSIER 3 </w:t>
      </w:r>
      <w:r w:rsidR="004043A8" w:rsidRPr="00876257">
        <w:rPr>
          <w:rFonts w:ascii="Arial" w:hAnsi="Arial" w:cs="Arial"/>
          <w:b/>
          <w:bCs/>
          <w:color w:val="000000"/>
          <w:szCs w:val="24"/>
        </w:rPr>
        <w:t xml:space="preserve">– </w:t>
      </w:r>
      <w:r w:rsidR="000C6414" w:rsidRPr="00876257">
        <w:rPr>
          <w:rFonts w:ascii="Arial" w:hAnsi="Arial" w:cs="Arial"/>
          <w:b/>
          <w:bCs/>
          <w:color w:val="000000"/>
          <w:szCs w:val="24"/>
        </w:rPr>
        <w:t>FISCALIT</w:t>
      </w:r>
      <w:r w:rsidR="002651A7" w:rsidRPr="00876257">
        <w:rPr>
          <w:rFonts w:ascii="Arial" w:hAnsi="Arial" w:cs="Arial"/>
          <w:b/>
          <w:bCs/>
          <w:color w:val="000000"/>
          <w:szCs w:val="24"/>
        </w:rPr>
        <w:t>É</w:t>
      </w:r>
      <w:r w:rsidR="000C6414" w:rsidRPr="00876257">
        <w:rPr>
          <w:rFonts w:ascii="Arial" w:hAnsi="Arial" w:cs="Arial"/>
          <w:b/>
          <w:bCs/>
          <w:color w:val="000000"/>
          <w:szCs w:val="24"/>
        </w:rPr>
        <w:t xml:space="preserve"> PERSONNELLE</w:t>
      </w:r>
      <w:bookmarkStart w:id="0" w:name="_GoBack"/>
      <w:bookmarkEnd w:id="0"/>
    </w:p>
    <w:p w14:paraId="1577A5EF" w14:textId="77777777" w:rsidR="00083FBE" w:rsidRPr="00876257" w:rsidRDefault="00083FBE" w:rsidP="003275F1">
      <w:pPr>
        <w:pBdr>
          <w:top w:val="single" w:sz="4" w:space="1" w:color="auto"/>
          <w:left w:val="single" w:sz="4" w:space="4" w:color="auto"/>
          <w:bottom w:val="single" w:sz="4" w:space="1" w:color="auto"/>
          <w:right w:val="single" w:sz="4" w:space="4" w:color="auto"/>
        </w:pBdr>
        <w:shd w:val="clear" w:color="auto" w:fill="BFBFBF" w:themeFill="background1" w:themeFillShade="BF"/>
        <w:jc w:val="center"/>
        <w:rPr>
          <w:rFonts w:ascii="Arial" w:hAnsi="Arial" w:cs="Arial"/>
          <w:b/>
          <w:bCs/>
          <w:color w:val="000000"/>
          <w:szCs w:val="24"/>
        </w:rPr>
      </w:pPr>
    </w:p>
    <w:p w14:paraId="45FBA6FC" w14:textId="77777777" w:rsidR="00ED03F9" w:rsidRPr="00876257" w:rsidRDefault="00ED03F9">
      <w:pPr>
        <w:rPr>
          <w:rFonts w:ascii="Arial" w:hAnsi="Arial" w:cs="Arial"/>
          <w:szCs w:val="24"/>
        </w:rPr>
      </w:pPr>
    </w:p>
    <w:p w14:paraId="42DBC929" w14:textId="77777777" w:rsidR="001201DD" w:rsidRPr="001201DD" w:rsidRDefault="001201DD" w:rsidP="004442E8">
      <w:pPr>
        <w:numPr>
          <w:ilvl w:val="1"/>
          <w:numId w:val="25"/>
        </w:numPr>
        <w:tabs>
          <w:tab w:val="left" w:pos="567"/>
        </w:tabs>
        <w:spacing w:before="100" w:after="100"/>
        <w:ind w:left="567" w:hanging="567"/>
        <w:contextualSpacing/>
        <w:rPr>
          <w:rFonts w:ascii="Arial" w:eastAsia="Calibri" w:hAnsi="Arial" w:cs="Arial"/>
          <w:sz w:val="22"/>
          <w:lang w:eastAsia="en-US"/>
        </w:rPr>
      </w:pPr>
      <w:r w:rsidRPr="001201DD">
        <w:rPr>
          <w:rFonts w:ascii="Arial" w:eastAsia="Calibri" w:hAnsi="Arial" w:cs="Arial"/>
          <w:b/>
          <w:sz w:val="22"/>
          <w:lang w:eastAsia="en-US"/>
        </w:rPr>
        <w:t>Rédiger un document de présentation (15-20 lignes) relatif</w:t>
      </w:r>
      <w:r w:rsidRPr="001201DD">
        <w:rPr>
          <w:rFonts w:ascii="Arial" w:eastAsia="Calibri" w:hAnsi="Arial" w:cs="Arial"/>
          <w:sz w:val="22"/>
          <w:lang w:eastAsia="en-US"/>
        </w:rPr>
        <w:t xml:space="preserve"> </w:t>
      </w:r>
      <w:r w:rsidRPr="001201DD">
        <w:rPr>
          <w:rFonts w:ascii="Arial" w:eastAsia="Calibri" w:hAnsi="Arial" w:cs="Arial"/>
          <w:b/>
          <w:sz w:val="22"/>
          <w:lang w:eastAsia="en-US"/>
        </w:rPr>
        <w:t>à l’IFI (champ d’application, base imposable, modalités d’imposition…) ;</w:t>
      </w:r>
    </w:p>
    <w:p w14:paraId="7C23702E" w14:textId="77777777" w:rsidR="001201DD" w:rsidRPr="001201DD" w:rsidRDefault="001201DD" w:rsidP="004442E8">
      <w:pPr>
        <w:spacing w:before="100" w:after="100"/>
        <w:ind w:left="567"/>
        <w:rPr>
          <w:rFonts w:ascii="Arial" w:eastAsia="Calibri" w:hAnsi="Arial" w:cs="Arial"/>
          <w:b/>
          <w:sz w:val="22"/>
          <w:lang w:eastAsia="en-US"/>
        </w:rPr>
      </w:pPr>
      <w:r w:rsidRPr="001201DD">
        <w:rPr>
          <w:rFonts w:ascii="Arial" w:eastAsia="Calibri" w:hAnsi="Arial" w:cs="Arial"/>
          <w:b/>
          <w:sz w:val="22"/>
          <w:lang w:eastAsia="en-US"/>
        </w:rPr>
        <w:t>OU</w:t>
      </w:r>
    </w:p>
    <w:p w14:paraId="16D8C5ED" w14:textId="77777777" w:rsidR="001201DD" w:rsidRPr="001201DD" w:rsidRDefault="001201DD" w:rsidP="004442E8">
      <w:pPr>
        <w:ind w:left="567"/>
        <w:contextualSpacing/>
        <w:rPr>
          <w:rFonts w:ascii="Arial" w:eastAsia="Calibri" w:hAnsi="Arial" w:cs="Arial"/>
          <w:b/>
          <w:sz w:val="22"/>
          <w:lang w:eastAsia="en-US"/>
        </w:rPr>
      </w:pPr>
      <w:r w:rsidRPr="001201DD">
        <w:rPr>
          <w:rFonts w:ascii="Arial" w:eastAsia="Calibri" w:hAnsi="Arial" w:cs="Arial"/>
          <w:b/>
          <w:sz w:val="22"/>
          <w:lang w:eastAsia="en-US"/>
        </w:rPr>
        <w:t>Rédiger un document de présentation (15-20 lignes) relatif au prélèvement à la source sur les traitements et salaires (principe général, modalités d’application, régularisations…).</w:t>
      </w:r>
    </w:p>
    <w:p w14:paraId="0EA394AE" w14:textId="7EDEEECE" w:rsidR="00BD6EE2" w:rsidRDefault="00BD6EE2">
      <w:pPr>
        <w:rPr>
          <w:rFonts w:ascii="Arial" w:hAnsi="Arial" w:cs="Arial"/>
          <w:sz w:val="22"/>
        </w:rPr>
      </w:pPr>
      <w:r>
        <w:rPr>
          <w:rFonts w:ascii="Arial" w:hAnsi="Arial" w:cs="Arial"/>
          <w:sz w:val="22"/>
        </w:rPr>
        <w:t xml:space="preserve"> </w:t>
      </w:r>
    </w:p>
    <w:p w14:paraId="497C5EA1" w14:textId="196FAD9B" w:rsidR="0098755E" w:rsidRPr="001974F7" w:rsidRDefault="0098755E">
      <w:pPr>
        <w:rPr>
          <w:rFonts w:ascii="Arial" w:hAnsi="Arial" w:cs="Arial"/>
          <w:b/>
          <w:sz w:val="22"/>
          <w:u w:val="single"/>
        </w:rPr>
      </w:pPr>
      <w:r w:rsidRPr="001974F7">
        <w:rPr>
          <w:rFonts w:ascii="Arial" w:hAnsi="Arial" w:cs="Arial"/>
          <w:b/>
          <w:sz w:val="22"/>
          <w:u w:val="single"/>
        </w:rPr>
        <w:t>L</w:t>
      </w:r>
      <w:r w:rsidR="001201DD">
        <w:rPr>
          <w:rFonts w:ascii="Arial" w:hAnsi="Arial" w:cs="Arial"/>
          <w:b/>
          <w:sz w:val="22"/>
          <w:u w:val="single"/>
        </w:rPr>
        <w:t>e</w:t>
      </w:r>
      <w:r w:rsidRPr="001974F7">
        <w:rPr>
          <w:rFonts w:ascii="Arial" w:hAnsi="Arial" w:cs="Arial"/>
          <w:b/>
          <w:sz w:val="22"/>
          <w:u w:val="single"/>
        </w:rPr>
        <w:t xml:space="preserve"> </w:t>
      </w:r>
      <w:r w:rsidR="001201DD">
        <w:rPr>
          <w:rFonts w:ascii="Arial" w:hAnsi="Arial" w:cs="Arial"/>
          <w:b/>
          <w:sz w:val="22"/>
          <w:u w:val="single"/>
        </w:rPr>
        <w:t>document</w:t>
      </w:r>
      <w:r w:rsidRPr="001974F7">
        <w:rPr>
          <w:rFonts w:ascii="Arial" w:hAnsi="Arial" w:cs="Arial"/>
          <w:b/>
          <w:sz w:val="22"/>
          <w:u w:val="single"/>
        </w:rPr>
        <w:t xml:space="preserve"> de </w:t>
      </w:r>
      <w:r w:rsidR="00D82D82">
        <w:rPr>
          <w:rFonts w:ascii="Arial" w:hAnsi="Arial" w:cs="Arial"/>
          <w:b/>
          <w:sz w:val="22"/>
          <w:u w:val="single"/>
        </w:rPr>
        <w:t>présentation</w:t>
      </w:r>
      <w:r w:rsidRPr="001974F7">
        <w:rPr>
          <w:rFonts w:ascii="Arial" w:hAnsi="Arial" w:cs="Arial"/>
          <w:b/>
          <w:sz w:val="22"/>
          <w:u w:val="single"/>
        </w:rPr>
        <w:t xml:space="preserve"> relat</w:t>
      </w:r>
      <w:r w:rsidR="004E339D" w:rsidRPr="004E339D">
        <w:rPr>
          <w:rFonts w:ascii="Arial" w:hAnsi="Arial" w:cs="Arial"/>
          <w:b/>
          <w:sz w:val="22"/>
          <w:u w:val="single"/>
        </w:rPr>
        <w:t>if</w:t>
      </w:r>
      <w:r w:rsidRPr="004E339D">
        <w:rPr>
          <w:rFonts w:ascii="Arial" w:hAnsi="Arial" w:cs="Arial"/>
          <w:b/>
          <w:sz w:val="22"/>
          <w:u w:val="single"/>
        </w:rPr>
        <w:t xml:space="preserve"> </w:t>
      </w:r>
      <w:r w:rsidRPr="001974F7">
        <w:rPr>
          <w:rFonts w:ascii="Arial" w:hAnsi="Arial" w:cs="Arial"/>
          <w:b/>
          <w:sz w:val="22"/>
          <w:u w:val="single"/>
        </w:rPr>
        <w:t>à l’IFI devra comporter notamment :</w:t>
      </w:r>
    </w:p>
    <w:p w14:paraId="6F69A981" w14:textId="725DA173" w:rsidR="0098755E" w:rsidRDefault="0098755E">
      <w:pPr>
        <w:rPr>
          <w:rFonts w:ascii="Arial" w:hAnsi="Arial" w:cs="Arial"/>
          <w:sz w:val="22"/>
        </w:rPr>
      </w:pPr>
    </w:p>
    <w:p w14:paraId="5BD46FFD" w14:textId="2412382B" w:rsidR="001974F7" w:rsidRPr="002E78CA" w:rsidRDefault="001974F7" w:rsidP="001974F7">
      <w:pPr>
        <w:rPr>
          <w:rFonts w:ascii="Arial" w:hAnsi="Arial" w:cs="Arial"/>
          <w:sz w:val="22"/>
        </w:rPr>
      </w:pPr>
      <w:r w:rsidRPr="002E78CA">
        <w:rPr>
          <w:rFonts w:ascii="Arial" w:hAnsi="Arial" w:cs="Arial"/>
          <w:sz w:val="22"/>
        </w:rPr>
        <w:t>Champ d’application de l’IFI (art 964 CGI)</w:t>
      </w:r>
      <w:r w:rsidR="00C57EF8" w:rsidRPr="002E78CA">
        <w:rPr>
          <w:rFonts w:ascii="Arial" w:hAnsi="Arial" w:cs="Arial"/>
          <w:sz w:val="22"/>
        </w:rPr>
        <w:t> : l</w:t>
      </w:r>
      <w:r w:rsidRPr="002E78CA">
        <w:rPr>
          <w:rFonts w:ascii="Arial" w:hAnsi="Arial" w:cs="Arial"/>
          <w:sz w:val="22"/>
        </w:rPr>
        <w:t>’IFI est un impôt annuel dû par les personnes physiques dont la valeur du patrimoine taxable apprécié au 1</w:t>
      </w:r>
      <w:r w:rsidRPr="002E78CA">
        <w:rPr>
          <w:rFonts w:ascii="Arial" w:hAnsi="Arial" w:cs="Arial"/>
          <w:sz w:val="22"/>
          <w:vertAlign w:val="superscript"/>
        </w:rPr>
        <w:t>er</w:t>
      </w:r>
      <w:r w:rsidRPr="002E78CA">
        <w:rPr>
          <w:rFonts w:ascii="Arial" w:hAnsi="Arial" w:cs="Arial"/>
          <w:sz w:val="22"/>
        </w:rPr>
        <w:t xml:space="preserve"> janvier de chaque année d’imposition est supérieure au seuil d’imposition fixé à 1,3 M€. </w:t>
      </w:r>
    </w:p>
    <w:p w14:paraId="6A01888F" w14:textId="77777777" w:rsidR="00364AC9" w:rsidRPr="002E78CA" w:rsidRDefault="00364AC9" w:rsidP="001974F7">
      <w:pPr>
        <w:rPr>
          <w:rFonts w:ascii="Arial" w:hAnsi="Arial" w:cs="Arial"/>
          <w:sz w:val="22"/>
        </w:rPr>
      </w:pPr>
    </w:p>
    <w:p w14:paraId="144FDD98" w14:textId="72E8FDB7" w:rsidR="00364AC9" w:rsidRPr="002E78CA" w:rsidRDefault="00364AC9" w:rsidP="00364AC9">
      <w:pPr>
        <w:rPr>
          <w:rFonts w:ascii="Arial" w:hAnsi="Arial" w:cs="Arial"/>
          <w:sz w:val="22"/>
        </w:rPr>
      </w:pPr>
      <w:r w:rsidRPr="002E78CA">
        <w:rPr>
          <w:rFonts w:ascii="Arial" w:hAnsi="Arial" w:cs="Arial"/>
          <w:sz w:val="22"/>
        </w:rPr>
        <w:t>Le foyer fiscal de l’IFI est composé soit d’une personne seule, soit des personnes vivant en couple (cas de concubinage notoire)</w:t>
      </w:r>
      <w:r w:rsidR="00EA4974" w:rsidRPr="002E78CA">
        <w:rPr>
          <w:rFonts w:ascii="Arial" w:hAnsi="Arial" w:cs="Arial"/>
          <w:sz w:val="22"/>
        </w:rPr>
        <w:t>.</w:t>
      </w:r>
    </w:p>
    <w:p w14:paraId="0D07BFE0" w14:textId="0E14139A" w:rsidR="0098755E" w:rsidRPr="002E78CA" w:rsidRDefault="0098755E">
      <w:pPr>
        <w:rPr>
          <w:rFonts w:ascii="Arial" w:hAnsi="Arial" w:cs="Arial"/>
          <w:sz w:val="22"/>
        </w:rPr>
      </w:pPr>
    </w:p>
    <w:p w14:paraId="3340B3F8" w14:textId="151C33BA" w:rsidR="0098755E" w:rsidRPr="002E78CA" w:rsidRDefault="00C865E4">
      <w:pPr>
        <w:rPr>
          <w:rFonts w:ascii="Arial" w:hAnsi="Arial" w:cs="Arial"/>
          <w:sz w:val="22"/>
        </w:rPr>
      </w:pPr>
      <w:r w:rsidRPr="002E78CA">
        <w:rPr>
          <w:rFonts w:ascii="Arial" w:hAnsi="Arial" w:cs="Arial"/>
          <w:sz w:val="22"/>
        </w:rPr>
        <w:t xml:space="preserve">Le patrimoine net taxable est la somme des valeurs imposables des biens immobiliers </w:t>
      </w:r>
      <w:r w:rsidR="00364AC9" w:rsidRPr="002E78CA">
        <w:rPr>
          <w:rFonts w:ascii="Arial" w:hAnsi="Arial" w:cs="Arial"/>
          <w:sz w:val="22"/>
        </w:rPr>
        <w:t xml:space="preserve">(maisons, appartements, dépendances...) </w:t>
      </w:r>
      <w:r w:rsidRPr="002E78CA">
        <w:rPr>
          <w:rFonts w:ascii="Arial" w:hAnsi="Arial" w:cs="Arial"/>
          <w:sz w:val="22"/>
        </w:rPr>
        <w:t>auquel on soustrait des dettes déductibles</w:t>
      </w:r>
      <w:r w:rsidR="00364AC9" w:rsidRPr="002E78CA">
        <w:rPr>
          <w:rFonts w:ascii="Arial" w:hAnsi="Arial" w:cs="Arial"/>
          <w:sz w:val="22"/>
        </w:rPr>
        <w:t xml:space="preserve"> (sous réserve de respecter 3 critères cumulatifs : exister au 1</w:t>
      </w:r>
      <w:r w:rsidR="00364AC9" w:rsidRPr="002E78CA">
        <w:rPr>
          <w:rFonts w:ascii="Arial" w:hAnsi="Arial" w:cs="Arial"/>
          <w:sz w:val="22"/>
          <w:vertAlign w:val="superscript"/>
        </w:rPr>
        <w:t>er</w:t>
      </w:r>
      <w:r w:rsidR="00364AC9" w:rsidRPr="002E78CA">
        <w:rPr>
          <w:rFonts w:ascii="Arial" w:hAnsi="Arial" w:cs="Arial"/>
          <w:sz w:val="22"/>
        </w:rPr>
        <w:t xml:space="preserve"> janvier de l’année d’imposition, être à la charge personnelle d’un membre du foyer fiscal, être afférente aux actifs imposables)</w:t>
      </w:r>
      <w:r w:rsidRPr="002E78CA">
        <w:rPr>
          <w:rFonts w:ascii="Arial" w:hAnsi="Arial" w:cs="Arial"/>
          <w:sz w:val="22"/>
        </w:rPr>
        <w:t>.</w:t>
      </w:r>
    </w:p>
    <w:p w14:paraId="75F9255B" w14:textId="70853566" w:rsidR="00364AC9" w:rsidRPr="002E78CA" w:rsidRDefault="00364AC9">
      <w:pPr>
        <w:rPr>
          <w:rFonts w:ascii="Arial" w:hAnsi="Arial" w:cs="Arial"/>
          <w:sz w:val="22"/>
        </w:rPr>
      </w:pPr>
    </w:p>
    <w:p w14:paraId="79DB69EF" w14:textId="7BD9CC2F" w:rsidR="00364AC9" w:rsidRDefault="00364AC9">
      <w:pPr>
        <w:rPr>
          <w:rFonts w:ascii="Arial" w:hAnsi="Arial" w:cs="Arial"/>
          <w:sz w:val="22"/>
        </w:rPr>
      </w:pPr>
      <w:r w:rsidRPr="002E78CA">
        <w:rPr>
          <w:rFonts w:ascii="Arial" w:hAnsi="Arial" w:cs="Arial"/>
          <w:sz w:val="22"/>
        </w:rPr>
        <w:t>Des abattements spécifiques existent notamment sur la résidence principale (30</w:t>
      </w:r>
      <w:r w:rsidR="001201DD">
        <w:rPr>
          <w:rFonts w:ascii="Arial" w:hAnsi="Arial" w:cs="Arial"/>
          <w:sz w:val="22"/>
        </w:rPr>
        <w:t xml:space="preserve"> </w:t>
      </w:r>
      <w:r w:rsidRPr="002E78CA">
        <w:rPr>
          <w:rFonts w:ascii="Arial" w:hAnsi="Arial" w:cs="Arial"/>
          <w:sz w:val="22"/>
        </w:rPr>
        <w:t>%)</w:t>
      </w:r>
      <w:r w:rsidR="00EA4974" w:rsidRPr="002E78CA">
        <w:rPr>
          <w:rFonts w:ascii="Arial" w:hAnsi="Arial" w:cs="Arial"/>
          <w:sz w:val="22"/>
        </w:rPr>
        <w:t>.</w:t>
      </w:r>
    </w:p>
    <w:p w14:paraId="6D7B17EA" w14:textId="77777777" w:rsidR="00DD6EA8" w:rsidRPr="002E78CA" w:rsidRDefault="00DD6EA8">
      <w:pPr>
        <w:rPr>
          <w:rFonts w:ascii="Arial" w:hAnsi="Arial" w:cs="Arial"/>
          <w:sz w:val="22"/>
        </w:rPr>
      </w:pPr>
    </w:p>
    <w:p w14:paraId="5F87FB2E" w14:textId="19D83540" w:rsidR="00364AC9" w:rsidRDefault="00364AC9">
      <w:pPr>
        <w:rPr>
          <w:rFonts w:ascii="Arial" w:hAnsi="Arial" w:cs="Arial"/>
          <w:sz w:val="22"/>
        </w:rPr>
      </w:pPr>
      <w:r w:rsidRPr="002E78CA">
        <w:rPr>
          <w:rFonts w:ascii="Arial" w:hAnsi="Arial" w:cs="Arial"/>
          <w:sz w:val="22"/>
        </w:rPr>
        <w:t>Exonération partielle ou totale des immeubles utilisés pour les besoins de l’activité professionnelle.</w:t>
      </w:r>
    </w:p>
    <w:p w14:paraId="167FA055" w14:textId="77777777" w:rsidR="00DD6EA8" w:rsidRPr="002E78CA" w:rsidRDefault="00DD6EA8">
      <w:pPr>
        <w:rPr>
          <w:rFonts w:ascii="Arial" w:hAnsi="Arial" w:cs="Arial"/>
          <w:sz w:val="22"/>
        </w:rPr>
      </w:pPr>
    </w:p>
    <w:p w14:paraId="3F1F28C1" w14:textId="42FB510C" w:rsidR="00364AC9" w:rsidRDefault="00364AC9">
      <w:pPr>
        <w:rPr>
          <w:rFonts w:ascii="Arial" w:hAnsi="Arial" w:cs="Arial"/>
          <w:sz w:val="22"/>
        </w:rPr>
      </w:pPr>
      <w:r w:rsidRPr="002E78CA">
        <w:rPr>
          <w:rFonts w:ascii="Arial" w:hAnsi="Arial" w:cs="Arial"/>
          <w:sz w:val="22"/>
        </w:rPr>
        <w:t>Un système de décote existe pour les patrimoines compris entre 1,3 millions et 1,4 millions.</w:t>
      </w:r>
    </w:p>
    <w:p w14:paraId="3E611931" w14:textId="77777777" w:rsidR="00DD6EA8" w:rsidRPr="002E78CA" w:rsidRDefault="00DD6EA8">
      <w:pPr>
        <w:rPr>
          <w:rFonts w:ascii="Arial" w:hAnsi="Arial" w:cs="Arial"/>
          <w:sz w:val="22"/>
        </w:rPr>
      </w:pPr>
    </w:p>
    <w:p w14:paraId="0B2A9903" w14:textId="13100AB8" w:rsidR="00C865E4" w:rsidRDefault="00C865E4">
      <w:pPr>
        <w:rPr>
          <w:rFonts w:ascii="Arial" w:hAnsi="Arial" w:cs="Arial"/>
          <w:sz w:val="22"/>
        </w:rPr>
      </w:pPr>
      <w:r w:rsidRPr="002E78CA">
        <w:rPr>
          <w:rFonts w:ascii="Arial" w:hAnsi="Arial" w:cs="Arial"/>
          <w:sz w:val="22"/>
        </w:rPr>
        <w:t xml:space="preserve">L’IFI est calculé selon un barème progressif </w:t>
      </w:r>
      <w:r w:rsidR="00364AC9" w:rsidRPr="002E78CA">
        <w:rPr>
          <w:rFonts w:ascii="Arial" w:hAnsi="Arial" w:cs="Arial"/>
          <w:sz w:val="22"/>
        </w:rPr>
        <w:t>(de 0 à 1,5</w:t>
      </w:r>
      <w:r w:rsidR="00DD6EA8">
        <w:rPr>
          <w:rFonts w:ascii="Arial" w:hAnsi="Arial" w:cs="Arial"/>
          <w:sz w:val="22"/>
        </w:rPr>
        <w:t xml:space="preserve"> </w:t>
      </w:r>
      <w:r w:rsidR="00364AC9" w:rsidRPr="002E78CA">
        <w:rPr>
          <w:rFonts w:ascii="Arial" w:hAnsi="Arial" w:cs="Arial"/>
          <w:sz w:val="22"/>
        </w:rPr>
        <w:t>%).</w:t>
      </w:r>
    </w:p>
    <w:p w14:paraId="6977EF23" w14:textId="77777777" w:rsidR="00DD6EA8" w:rsidRPr="002E78CA" w:rsidRDefault="00DD6EA8">
      <w:pPr>
        <w:rPr>
          <w:rFonts w:ascii="Arial" w:hAnsi="Arial" w:cs="Arial"/>
          <w:sz w:val="22"/>
        </w:rPr>
      </w:pPr>
    </w:p>
    <w:p w14:paraId="183DCE18" w14:textId="5501138A" w:rsidR="00C57EF8" w:rsidRPr="002E78CA" w:rsidRDefault="00C57EF8">
      <w:pPr>
        <w:rPr>
          <w:rFonts w:ascii="Arial" w:hAnsi="Arial" w:cs="Arial"/>
          <w:sz w:val="22"/>
        </w:rPr>
      </w:pPr>
      <w:r w:rsidRPr="002E78CA">
        <w:rPr>
          <w:rFonts w:ascii="Arial" w:hAnsi="Arial" w:cs="Arial"/>
          <w:sz w:val="22"/>
        </w:rPr>
        <w:t>L’IFI se déclare en même temps que l’impôt sur le revenu.</w:t>
      </w:r>
    </w:p>
    <w:p w14:paraId="4258EBFB" w14:textId="00B5231F" w:rsidR="0098755E" w:rsidRDefault="0098755E">
      <w:pPr>
        <w:rPr>
          <w:rFonts w:ascii="Arial" w:hAnsi="Arial" w:cs="Arial"/>
          <w:sz w:val="22"/>
        </w:rPr>
      </w:pPr>
    </w:p>
    <w:p w14:paraId="454718DB" w14:textId="5E630061" w:rsidR="0098755E" w:rsidRPr="002E78CA" w:rsidRDefault="0098755E" w:rsidP="0098755E">
      <w:pPr>
        <w:rPr>
          <w:rFonts w:ascii="Arial" w:hAnsi="Arial" w:cs="Arial"/>
          <w:b/>
          <w:sz w:val="22"/>
          <w:u w:val="single"/>
        </w:rPr>
      </w:pPr>
      <w:r w:rsidRPr="002E78CA">
        <w:rPr>
          <w:rFonts w:ascii="Arial" w:hAnsi="Arial" w:cs="Arial"/>
          <w:b/>
          <w:sz w:val="22"/>
          <w:u w:val="single"/>
        </w:rPr>
        <w:t>L</w:t>
      </w:r>
      <w:r w:rsidR="001201DD">
        <w:rPr>
          <w:rFonts w:ascii="Arial" w:hAnsi="Arial" w:cs="Arial"/>
          <w:b/>
          <w:sz w:val="22"/>
          <w:u w:val="single"/>
        </w:rPr>
        <w:t>e</w:t>
      </w:r>
      <w:r w:rsidRPr="002E78CA">
        <w:rPr>
          <w:rFonts w:ascii="Arial" w:hAnsi="Arial" w:cs="Arial"/>
          <w:b/>
          <w:sz w:val="22"/>
          <w:u w:val="single"/>
        </w:rPr>
        <w:t xml:space="preserve"> </w:t>
      </w:r>
      <w:r w:rsidR="001201DD">
        <w:rPr>
          <w:rFonts w:ascii="Arial" w:hAnsi="Arial" w:cs="Arial"/>
          <w:b/>
          <w:sz w:val="22"/>
          <w:u w:val="single"/>
        </w:rPr>
        <w:t>document</w:t>
      </w:r>
      <w:r w:rsidRPr="002E78CA">
        <w:rPr>
          <w:rFonts w:ascii="Arial" w:hAnsi="Arial" w:cs="Arial"/>
          <w:b/>
          <w:sz w:val="22"/>
          <w:u w:val="single"/>
        </w:rPr>
        <w:t xml:space="preserve"> de </w:t>
      </w:r>
      <w:r w:rsidR="00472738" w:rsidRPr="002E78CA">
        <w:rPr>
          <w:rFonts w:ascii="Arial" w:hAnsi="Arial" w:cs="Arial"/>
          <w:b/>
          <w:sz w:val="22"/>
          <w:u w:val="single"/>
        </w:rPr>
        <w:t>de présentation</w:t>
      </w:r>
      <w:r w:rsidRPr="002E78CA">
        <w:rPr>
          <w:rFonts w:ascii="Arial" w:hAnsi="Arial" w:cs="Arial"/>
          <w:b/>
          <w:sz w:val="22"/>
          <w:u w:val="single"/>
        </w:rPr>
        <w:t xml:space="preserve"> relati</w:t>
      </w:r>
      <w:r w:rsidR="004E339D">
        <w:rPr>
          <w:rFonts w:ascii="Arial" w:hAnsi="Arial" w:cs="Arial"/>
          <w:b/>
          <w:sz w:val="22"/>
          <w:u w:val="single"/>
        </w:rPr>
        <w:t>f</w:t>
      </w:r>
      <w:r w:rsidRPr="002E78CA">
        <w:rPr>
          <w:rFonts w:ascii="Arial" w:hAnsi="Arial" w:cs="Arial"/>
          <w:b/>
          <w:sz w:val="22"/>
          <w:u w:val="single"/>
        </w:rPr>
        <w:t xml:space="preserve"> au prélèvement à la source sur les traitements et salaires devra comporter notamment :</w:t>
      </w:r>
    </w:p>
    <w:p w14:paraId="4F31A5E1" w14:textId="67D6E679" w:rsidR="0098755E" w:rsidRPr="002E78CA" w:rsidRDefault="0098755E">
      <w:pPr>
        <w:rPr>
          <w:rFonts w:ascii="Arial" w:hAnsi="Arial" w:cs="Arial"/>
          <w:sz w:val="22"/>
        </w:rPr>
      </w:pPr>
    </w:p>
    <w:p w14:paraId="18E01669" w14:textId="2631F09D" w:rsidR="00AA688D" w:rsidRPr="002E78CA" w:rsidRDefault="00AA688D">
      <w:pPr>
        <w:rPr>
          <w:rFonts w:ascii="Arial" w:hAnsi="Arial" w:cs="Arial"/>
          <w:sz w:val="22"/>
        </w:rPr>
      </w:pPr>
      <w:r w:rsidRPr="002E78CA">
        <w:rPr>
          <w:rFonts w:ascii="Arial" w:hAnsi="Arial" w:cs="Arial"/>
          <w:sz w:val="22"/>
        </w:rPr>
        <w:t>L’objectif du PAS est la contemporanéité de l’impôt.</w:t>
      </w:r>
    </w:p>
    <w:p w14:paraId="3F6A6AD5" w14:textId="77777777" w:rsidR="00AA688D" w:rsidRPr="002E78CA" w:rsidRDefault="00AA688D">
      <w:pPr>
        <w:rPr>
          <w:rFonts w:ascii="Arial" w:hAnsi="Arial" w:cs="Arial"/>
          <w:sz w:val="22"/>
        </w:rPr>
      </w:pPr>
    </w:p>
    <w:p w14:paraId="3A548E71" w14:textId="73728E4F" w:rsidR="00D02C5C" w:rsidRDefault="00F9349E">
      <w:pPr>
        <w:rPr>
          <w:rFonts w:ascii="Arial" w:hAnsi="Arial" w:cs="Arial"/>
          <w:sz w:val="22"/>
        </w:rPr>
      </w:pPr>
      <w:r w:rsidRPr="002E78CA">
        <w:rPr>
          <w:rFonts w:ascii="Arial" w:hAnsi="Arial" w:cs="Arial"/>
          <w:sz w:val="22"/>
        </w:rPr>
        <w:t>Le prélèvement à la source consiste à payer l’impôt sur le revenu au moment de la perception du salaire mensuel.</w:t>
      </w:r>
    </w:p>
    <w:p w14:paraId="0CCA6184" w14:textId="77777777" w:rsidR="00DD6EA8" w:rsidRPr="002E78CA" w:rsidRDefault="00DD6EA8">
      <w:pPr>
        <w:rPr>
          <w:rFonts w:ascii="Arial" w:hAnsi="Arial" w:cs="Arial"/>
          <w:sz w:val="22"/>
        </w:rPr>
      </w:pPr>
    </w:p>
    <w:p w14:paraId="78DE2E03" w14:textId="04B526D3" w:rsidR="00F9349E" w:rsidRDefault="00F9349E">
      <w:pPr>
        <w:rPr>
          <w:rFonts w:ascii="Arial" w:hAnsi="Arial" w:cs="Arial"/>
          <w:sz w:val="22"/>
        </w:rPr>
      </w:pPr>
      <w:r w:rsidRPr="002E78CA">
        <w:rPr>
          <w:rFonts w:ascii="Arial" w:hAnsi="Arial" w:cs="Arial"/>
          <w:sz w:val="22"/>
        </w:rPr>
        <w:t>L’impôt est collecté par l’employeur et reversé directement à l’administration fiscale.</w:t>
      </w:r>
    </w:p>
    <w:p w14:paraId="349F1989" w14:textId="77777777" w:rsidR="00DD6EA8" w:rsidRPr="002E78CA" w:rsidRDefault="00DD6EA8">
      <w:pPr>
        <w:rPr>
          <w:rFonts w:ascii="Arial" w:hAnsi="Arial" w:cs="Arial"/>
          <w:sz w:val="22"/>
        </w:rPr>
      </w:pPr>
    </w:p>
    <w:p w14:paraId="77C7D556" w14:textId="343EA271" w:rsidR="00AA688D" w:rsidRPr="002E78CA" w:rsidRDefault="00AA688D" w:rsidP="00AA688D">
      <w:pPr>
        <w:rPr>
          <w:rFonts w:ascii="Arial" w:hAnsi="Arial" w:cs="Arial"/>
          <w:sz w:val="22"/>
        </w:rPr>
      </w:pPr>
      <w:r w:rsidRPr="002E78CA">
        <w:rPr>
          <w:rFonts w:ascii="Arial" w:hAnsi="Arial" w:cs="Arial"/>
          <w:sz w:val="22"/>
        </w:rPr>
        <w:t>L’administration communique à l’employeur un taux à appliquer sur la rémunération de chaque salarié.</w:t>
      </w:r>
    </w:p>
    <w:p w14:paraId="357F4647" w14:textId="281C56C5" w:rsidR="00F9349E" w:rsidRPr="002E78CA" w:rsidRDefault="00F9349E">
      <w:pPr>
        <w:rPr>
          <w:rFonts w:ascii="Arial" w:hAnsi="Arial" w:cs="Arial"/>
          <w:sz w:val="22"/>
        </w:rPr>
      </w:pPr>
    </w:p>
    <w:p w14:paraId="6C43FE24" w14:textId="09F0688D" w:rsidR="00F9349E" w:rsidRPr="002E78CA" w:rsidRDefault="00F9349E">
      <w:pPr>
        <w:rPr>
          <w:rFonts w:ascii="Arial" w:hAnsi="Arial" w:cs="Arial"/>
          <w:sz w:val="22"/>
        </w:rPr>
      </w:pPr>
      <w:r w:rsidRPr="002E78CA">
        <w:rPr>
          <w:rFonts w:ascii="Arial" w:hAnsi="Arial" w:cs="Arial"/>
          <w:sz w:val="22"/>
        </w:rPr>
        <w:t>Le contribuable dispose de la possibilité de faire appliquer soit :</w:t>
      </w:r>
    </w:p>
    <w:p w14:paraId="66E7950E" w14:textId="68586571" w:rsidR="00F9349E" w:rsidRPr="002E78CA" w:rsidRDefault="00F9349E" w:rsidP="00F9349E">
      <w:pPr>
        <w:pStyle w:val="Paragraphedeliste"/>
        <w:numPr>
          <w:ilvl w:val="0"/>
          <w:numId w:val="11"/>
        </w:numPr>
        <w:rPr>
          <w:rFonts w:ascii="Arial" w:hAnsi="Arial" w:cs="Arial"/>
          <w:szCs w:val="22"/>
        </w:rPr>
      </w:pPr>
      <w:r w:rsidRPr="002E78CA">
        <w:rPr>
          <w:rFonts w:ascii="Arial" w:hAnsi="Arial" w:cs="Arial"/>
          <w:szCs w:val="22"/>
        </w:rPr>
        <w:t>un taux neutre calculé sur la base sur salaire net imposable du mois en cours ;</w:t>
      </w:r>
    </w:p>
    <w:p w14:paraId="6E678FC5" w14:textId="77777777" w:rsidR="00F9349E" w:rsidRPr="002E78CA" w:rsidRDefault="00F9349E" w:rsidP="00F9349E">
      <w:pPr>
        <w:pStyle w:val="Paragraphedeliste"/>
        <w:numPr>
          <w:ilvl w:val="0"/>
          <w:numId w:val="11"/>
        </w:numPr>
        <w:rPr>
          <w:rFonts w:ascii="Arial" w:hAnsi="Arial" w:cs="Arial"/>
          <w:szCs w:val="22"/>
        </w:rPr>
      </w:pPr>
      <w:r w:rsidRPr="002E78CA">
        <w:rPr>
          <w:rFonts w:ascii="Arial" w:hAnsi="Arial" w:cs="Arial"/>
          <w:szCs w:val="22"/>
        </w:rPr>
        <w:t>un taux moyen applicable à l’ensemble des membre du foyer fiscal ;</w:t>
      </w:r>
    </w:p>
    <w:p w14:paraId="51C88BCC" w14:textId="43820787" w:rsidR="00F9349E" w:rsidRPr="002E78CA" w:rsidRDefault="00F9349E" w:rsidP="00F9349E">
      <w:pPr>
        <w:pStyle w:val="Paragraphedeliste"/>
        <w:numPr>
          <w:ilvl w:val="0"/>
          <w:numId w:val="11"/>
        </w:numPr>
        <w:rPr>
          <w:rFonts w:ascii="Arial" w:hAnsi="Arial" w:cs="Arial"/>
          <w:szCs w:val="22"/>
        </w:rPr>
      </w:pPr>
      <w:r w:rsidRPr="002E78CA">
        <w:rPr>
          <w:rFonts w:ascii="Arial" w:hAnsi="Arial" w:cs="Arial"/>
          <w:szCs w:val="22"/>
        </w:rPr>
        <w:t xml:space="preserve">un taux personnalisé : adapté aux revenus de chaque membre du foyer fiscal. </w:t>
      </w:r>
    </w:p>
    <w:p w14:paraId="26B4EE1B" w14:textId="35491F4E" w:rsidR="00AA688D" w:rsidRPr="002E78CA" w:rsidRDefault="00AA688D" w:rsidP="00AA688D">
      <w:pPr>
        <w:rPr>
          <w:rFonts w:ascii="Arial" w:hAnsi="Arial" w:cs="Arial"/>
          <w:sz w:val="22"/>
        </w:rPr>
      </w:pPr>
      <w:r w:rsidRPr="002E78CA">
        <w:rPr>
          <w:rFonts w:ascii="Arial" w:hAnsi="Arial" w:cs="Arial"/>
          <w:sz w:val="22"/>
        </w:rPr>
        <w:t>Ces prélèvements mensuels à la source constituent des acomptes qui seront régularisés au moment de la liquidation de l’IR. Cette liquidation est réalisée suite au dépôt de la déclaration 2042 en mai N</w:t>
      </w:r>
      <w:r w:rsidR="00426536">
        <w:rPr>
          <w:rFonts w:ascii="Arial" w:hAnsi="Arial" w:cs="Arial"/>
          <w:sz w:val="22"/>
        </w:rPr>
        <w:t> </w:t>
      </w:r>
      <w:r w:rsidRPr="002E78CA">
        <w:rPr>
          <w:rFonts w:ascii="Arial" w:hAnsi="Arial" w:cs="Arial"/>
          <w:sz w:val="22"/>
        </w:rPr>
        <w:t>+</w:t>
      </w:r>
      <w:r w:rsidR="00426536">
        <w:rPr>
          <w:rFonts w:ascii="Arial" w:hAnsi="Arial" w:cs="Arial"/>
          <w:sz w:val="22"/>
        </w:rPr>
        <w:t xml:space="preserve"> </w:t>
      </w:r>
      <w:r w:rsidRPr="002E78CA">
        <w:rPr>
          <w:rFonts w:ascii="Arial" w:hAnsi="Arial" w:cs="Arial"/>
          <w:sz w:val="22"/>
        </w:rPr>
        <w:t>1 qui donne lieu soit à un versement complémentaire pour solde, soit à une restitution du trop versé.</w:t>
      </w:r>
    </w:p>
    <w:sectPr w:rsidR="00AA688D" w:rsidRPr="002E78CA" w:rsidSect="00326E25">
      <w:footerReference w:type="even" r:id="rId9"/>
      <w:footerReference w:type="default" r:id="rId10"/>
      <w:footerReference w:type="first" r:id="rId11"/>
      <w:pgSz w:w="11906" w:h="16838" w:code="9"/>
      <w:pgMar w:top="1134" w:right="1134" w:bottom="1134" w:left="1134" w:header="680"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2AD4F" w14:textId="77777777" w:rsidR="00057821" w:rsidRDefault="00057821">
      <w:r>
        <w:separator/>
      </w:r>
    </w:p>
  </w:endnote>
  <w:endnote w:type="continuationSeparator" w:id="0">
    <w:p w14:paraId="4AF2DC45" w14:textId="77777777" w:rsidR="00057821" w:rsidRDefault="00057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255C7" w14:textId="77777777" w:rsidR="009E3422" w:rsidRDefault="009E3422" w:rsidP="009E342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9E1AE1A" w14:textId="77777777" w:rsidR="009E3422" w:rsidRDefault="009E3422">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Calibri"/>
        <w:sz w:val="18"/>
        <w:szCs w:val="20"/>
        <w:lang w:eastAsia="en-US"/>
      </w:rPr>
      <w:id w:val="1172679567"/>
      <w:docPartObj>
        <w:docPartGallery w:val="Page Numbers (Top of Page)"/>
        <w:docPartUnique/>
      </w:docPartObj>
    </w:sdtPr>
    <w:sdtEndPr>
      <w:rPr>
        <w:sz w:val="20"/>
      </w:rPr>
    </w:sdtEndPr>
    <w:sdtContent>
      <w:p w14:paraId="3CC4A132" w14:textId="537E62A5" w:rsidR="00326E25" w:rsidRPr="00326E25" w:rsidRDefault="00326E25" w:rsidP="00326E25">
        <w:pPr>
          <w:tabs>
            <w:tab w:val="center" w:pos="4536"/>
            <w:tab w:val="left" w:pos="8647"/>
            <w:tab w:val="right" w:pos="9072"/>
          </w:tabs>
          <w:jc w:val="left"/>
          <w:rPr>
            <w:rFonts w:eastAsia="Calibri"/>
            <w:sz w:val="20"/>
            <w:szCs w:val="20"/>
            <w:lang w:eastAsia="en-US"/>
          </w:rPr>
        </w:pPr>
        <w:r w:rsidRPr="00326E25">
          <w:rPr>
            <w:rFonts w:ascii="Arial" w:eastAsia="Calibri" w:hAnsi="Arial" w:cs="Arial"/>
            <w:b/>
            <w:sz w:val="20"/>
            <w:szCs w:val="20"/>
            <w:lang w:eastAsia="en-US"/>
          </w:rPr>
          <w:t>DCG 2020</w:t>
        </w:r>
        <w:r w:rsidRPr="00326E25">
          <w:rPr>
            <w:rFonts w:ascii="Arial" w:eastAsia="Calibri" w:hAnsi="Arial" w:cs="Arial"/>
            <w:sz w:val="18"/>
            <w:szCs w:val="20"/>
            <w:lang w:eastAsia="en-US"/>
          </w:rPr>
          <w:t xml:space="preserve"> </w:t>
        </w:r>
        <w:r w:rsidRPr="00326E25">
          <w:rPr>
            <w:rFonts w:ascii="Arial" w:eastAsia="Calibri" w:hAnsi="Arial" w:cs="Arial"/>
            <w:sz w:val="18"/>
            <w:szCs w:val="20"/>
            <w:lang w:eastAsia="en-US"/>
          </w:rPr>
          <w:tab/>
        </w:r>
        <w:r>
          <w:rPr>
            <w:rFonts w:ascii="Arial" w:eastAsia="Calibri" w:hAnsi="Arial" w:cs="Arial"/>
            <w:sz w:val="18"/>
            <w:szCs w:val="20"/>
            <w:lang w:eastAsia="en-US"/>
          </w:rPr>
          <w:t>UE4</w:t>
        </w:r>
        <w:r w:rsidRPr="00326E25">
          <w:rPr>
            <w:rFonts w:ascii="Arial" w:eastAsia="Calibri" w:hAnsi="Arial" w:cs="Arial"/>
            <w:sz w:val="18"/>
            <w:szCs w:val="20"/>
            <w:lang w:eastAsia="en-US"/>
          </w:rPr>
          <w:t xml:space="preserve"> Droit </w:t>
        </w:r>
        <w:r>
          <w:rPr>
            <w:rFonts w:ascii="Arial" w:eastAsia="Calibri" w:hAnsi="Arial" w:cs="Arial"/>
            <w:sz w:val="18"/>
            <w:szCs w:val="20"/>
            <w:lang w:eastAsia="en-US"/>
          </w:rPr>
          <w:t>fiscal</w:t>
        </w:r>
        <w:r w:rsidRPr="00326E25">
          <w:rPr>
            <w:rFonts w:ascii="Arial" w:eastAsia="Calibri" w:hAnsi="Arial" w:cs="Arial"/>
            <w:sz w:val="18"/>
            <w:szCs w:val="20"/>
            <w:lang w:eastAsia="en-US"/>
          </w:rPr>
          <w:t xml:space="preserve"> Corrigé</w:t>
        </w:r>
        <w:r w:rsidRPr="00326E25">
          <w:rPr>
            <w:rFonts w:ascii="Arial" w:eastAsia="Calibri" w:hAnsi="Arial" w:cs="Arial"/>
            <w:sz w:val="18"/>
            <w:szCs w:val="20"/>
            <w:lang w:eastAsia="en-US"/>
          </w:rPr>
          <w:tab/>
          <w:t xml:space="preserve">Page </w:t>
        </w:r>
        <w:r w:rsidRPr="00326E25">
          <w:rPr>
            <w:rFonts w:ascii="Arial" w:eastAsia="Calibri" w:hAnsi="Arial" w:cs="Arial"/>
            <w:b/>
            <w:bCs/>
            <w:sz w:val="18"/>
            <w:szCs w:val="20"/>
            <w:lang w:eastAsia="en-US"/>
          </w:rPr>
          <w:fldChar w:fldCharType="begin"/>
        </w:r>
        <w:r w:rsidRPr="00326E25">
          <w:rPr>
            <w:rFonts w:ascii="Arial" w:eastAsia="Calibri" w:hAnsi="Arial" w:cs="Arial"/>
            <w:b/>
            <w:bCs/>
            <w:sz w:val="18"/>
            <w:szCs w:val="20"/>
            <w:lang w:eastAsia="en-US"/>
          </w:rPr>
          <w:instrText>PAGE  \* Arabic  \* MERGEFORMAT</w:instrText>
        </w:r>
        <w:r w:rsidRPr="00326E25">
          <w:rPr>
            <w:rFonts w:ascii="Arial" w:eastAsia="Calibri" w:hAnsi="Arial" w:cs="Arial"/>
            <w:b/>
            <w:bCs/>
            <w:sz w:val="18"/>
            <w:szCs w:val="20"/>
            <w:lang w:eastAsia="en-US"/>
          </w:rPr>
          <w:fldChar w:fldCharType="separate"/>
        </w:r>
        <w:r>
          <w:rPr>
            <w:rFonts w:ascii="Arial" w:eastAsia="Calibri" w:hAnsi="Arial" w:cs="Arial"/>
            <w:b/>
            <w:bCs/>
            <w:noProof/>
            <w:sz w:val="18"/>
            <w:szCs w:val="20"/>
            <w:lang w:eastAsia="en-US"/>
          </w:rPr>
          <w:t>8</w:t>
        </w:r>
        <w:r w:rsidRPr="00326E25">
          <w:rPr>
            <w:rFonts w:ascii="Arial" w:eastAsia="Calibri" w:hAnsi="Arial" w:cs="Arial"/>
            <w:b/>
            <w:bCs/>
            <w:sz w:val="18"/>
            <w:szCs w:val="20"/>
            <w:lang w:eastAsia="en-US"/>
          </w:rPr>
          <w:fldChar w:fldCharType="end"/>
        </w:r>
        <w:r w:rsidRPr="00326E25">
          <w:rPr>
            <w:rFonts w:ascii="Arial" w:eastAsia="Calibri" w:hAnsi="Arial" w:cs="Arial"/>
            <w:sz w:val="18"/>
            <w:szCs w:val="20"/>
            <w:lang w:eastAsia="en-US"/>
          </w:rPr>
          <w:t xml:space="preserve"> / </w:t>
        </w:r>
        <w:r w:rsidRPr="00326E25">
          <w:rPr>
            <w:rFonts w:ascii="Arial" w:eastAsia="Calibri" w:hAnsi="Arial" w:cs="Arial"/>
            <w:b/>
            <w:bCs/>
            <w:sz w:val="18"/>
            <w:szCs w:val="20"/>
            <w:lang w:eastAsia="en-US"/>
          </w:rPr>
          <w:fldChar w:fldCharType="begin"/>
        </w:r>
        <w:r w:rsidRPr="00326E25">
          <w:rPr>
            <w:rFonts w:ascii="Arial" w:eastAsia="Calibri" w:hAnsi="Arial" w:cs="Arial"/>
            <w:b/>
            <w:bCs/>
            <w:sz w:val="18"/>
            <w:szCs w:val="20"/>
            <w:lang w:eastAsia="en-US"/>
          </w:rPr>
          <w:instrText>NUMPAGES  \* Arabic  \* MERGEFORMAT</w:instrText>
        </w:r>
        <w:r w:rsidRPr="00326E25">
          <w:rPr>
            <w:rFonts w:ascii="Arial" w:eastAsia="Calibri" w:hAnsi="Arial" w:cs="Arial"/>
            <w:b/>
            <w:bCs/>
            <w:sz w:val="18"/>
            <w:szCs w:val="20"/>
            <w:lang w:eastAsia="en-US"/>
          </w:rPr>
          <w:fldChar w:fldCharType="separate"/>
        </w:r>
        <w:r>
          <w:rPr>
            <w:rFonts w:ascii="Arial" w:eastAsia="Calibri" w:hAnsi="Arial" w:cs="Arial"/>
            <w:b/>
            <w:bCs/>
            <w:noProof/>
            <w:sz w:val="18"/>
            <w:szCs w:val="20"/>
            <w:lang w:eastAsia="en-US"/>
          </w:rPr>
          <w:t>8</w:t>
        </w:r>
        <w:r w:rsidRPr="00326E25">
          <w:rPr>
            <w:rFonts w:ascii="Arial" w:eastAsia="Calibri" w:hAnsi="Arial" w:cs="Arial"/>
            <w:b/>
            <w:bCs/>
            <w:sz w:val="18"/>
            <w:szCs w:val="20"/>
            <w:lang w:eastAsia="en-US"/>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376D1" w14:textId="77777777" w:rsidR="009E3422" w:rsidRPr="00AD107D" w:rsidRDefault="009E3422" w:rsidP="009E3422">
    <w:pPr>
      <w:pStyle w:val="Pieddepage"/>
      <w:tabs>
        <w:tab w:val="clear" w:pos="9072"/>
        <w:tab w:val="right" w:pos="9781"/>
      </w:tabs>
      <w:ind w:right="360"/>
      <w:rPr>
        <w:rFonts w:ascii="Arial" w:hAnsi="Arial" w:cs="Arial"/>
        <w:sz w:val="20"/>
      </w:rPr>
    </w:pPr>
    <w:r w:rsidRPr="00AD107D">
      <w:rPr>
        <w:rFonts w:ascii="Arial" w:hAnsi="Arial" w:cs="Arial"/>
        <w:b/>
        <w:sz w:val="20"/>
      </w:rPr>
      <w:t>2000004</w:t>
    </w:r>
    <w:r w:rsidRPr="00AD107D">
      <w:rPr>
        <w:rFonts w:ascii="Arial" w:hAnsi="Arial" w:cs="Arial"/>
        <w:sz w:val="20"/>
      </w:rPr>
      <w:t xml:space="preserve"> DCG 2020 UE4 – Droit fiscal </w:t>
    </w:r>
    <w:r w:rsidRPr="00AD107D">
      <w:rPr>
        <w:rFonts w:ascii="Arial" w:hAnsi="Arial" w:cs="Arial"/>
        <w:sz w:val="20"/>
      </w:rPr>
      <w:tab/>
      <w:t>CORRIGÉ-BARÈME</w:t>
    </w:r>
    <w:r w:rsidRPr="00AD107D">
      <w:rPr>
        <w:rFonts w:ascii="Arial" w:hAnsi="Arial" w:cs="Arial"/>
        <w:sz w:val="20"/>
      </w:rPr>
      <w:tab/>
      <w:t xml:space="preserve">Page </w:t>
    </w:r>
    <w:r w:rsidRPr="00AD107D">
      <w:rPr>
        <w:rFonts w:ascii="Arial" w:hAnsi="Arial" w:cs="Arial"/>
        <w:b/>
        <w:bCs w:val="0"/>
        <w:sz w:val="20"/>
      </w:rPr>
      <w:fldChar w:fldCharType="begin"/>
    </w:r>
    <w:r w:rsidRPr="00AD107D">
      <w:rPr>
        <w:rFonts w:ascii="Arial" w:hAnsi="Arial" w:cs="Arial"/>
        <w:b/>
        <w:sz w:val="20"/>
      </w:rPr>
      <w:instrText>PAGE  \* Arabic  \* MERGEFORMAT</w:instrText>
    </w:r>
    <w:r w:rsidRPr="00AD107D">
      <w:rPr>
        <w:rFonts w:ascii="Arial" w:hAnsi="Arial" w:cs="Arial"/>
        <w:b/>
        <w:bCs w:val="0"/>
        <w:sz w:val="20"/>
      </w:rPr>
      <w:fldChar w:fldCharType="separate"/>
    </w:r>
    <w:r>
      <w:rPr>
        <w:rFonts w:ascii="Arial" w:hAnsi="Arial" w:cs="Arial"/>
        <w:b/>
        <w:noProof/>
        <w:sz w:val="20"/>
      </w:rPr>
      <w:t>1</w:t>
    </w:r>
    <w:r w:rsidRPr="00AD107D">
      <w:rPr>
        <w:rFonts w:ascii="Arial" w:hAnsi="Arial" w:cs="Arial"/>
        <w:b/>
        <w:bCs w:val="0"/>
        <w:sz w:val="20"/>
      </w:rPr>
      <w:fldChar w:fldCharType="end"/>
    </w:r>
    <w:r w:rsidRPr="00AD107D">
      <w:rPr>
        <w:rFonts w:ascii="Arial" w:hAnsi="Arial" w:cs="Arial"/>
        <w:sz w:val="20"/>
      </w:rPr>
      <w:t>/</w:t>
    </w:r>
    <w:r w:rsidRPr="00AD107D">
      <w:rPr>
        <w:rFonts w:ascii="Arial" w:hAnsi="Arial" w:cs="Arial"/>
        <w:b/>
        <w:bCs w:val="0"/>
        <w:sz w:val="20"/>
      </w:rPr>
      <w:fldChar w:fldCharType="begin"/>
    </w:r>
    <w:r w:rsidRPr="00AD107D">
      <w:rPr>
        <w:rFonts w:ascii="Arial" w:hAnsi="Arial" w:cs="Arial"/>
        <w:b/>
        <w:sz w:val="20"/>
      </w:rPr>
      <w:instrText>NUMPAGES  \* Arabic  \* MERGEFORMAT</w:instrText>
    </w:r>
    <w:r w:rsidRPr="00AD107D">
      <w:rPr>
        <w:rFonts w:ascii="Arial" w:hAnsi="Arial" w:cs="Arial"/>
        <w:b/>
        <w:bCs w:val="0"/>
        <w:sz w:val="20"/>
      </w:rPr>
      <w:fldChar w:fldCharType="separate"/>
    </w:r>
    <w:r w:rsidR="009670A6">
      <w:rPr>
        <w:rFonts w:ascii="Arial" w:hAnsi="Arial" w:cs="Arial"/>
        <w:b/>
        <w:noProof/>
        <w:sz w:val="20"/>
      </w:rPr>
      <w:t>8</w:t>
    </w:r>
    <w:r w:rsidRPr="00AD107D">
      <w:rPr>
        <w:rFonts w:ascii="Arial" w:hAnsi="Arial" w:cs="Arial"/>
        <w:b/>
        <w:bCs w:val="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51C8C0" w14:textId="77777777" w:rsidR="00057821" w:rsidRDefault="00057821">
      <w:r>
        <w:separator/>
      </w:r>
    </w:p>
  </w:footnote>
  <w:footnote w:type="continuationSeparator" w:id="0">
    <w:p w14:paraId="72F363EB" w14:textId="77777777" w:rsidR="00057821" w:rsidRDefault="000578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38A3C38"/>
    <w:lvl w:ilvl="0">
      <w:numFmt w:val="bullet"/>
      <w:lvlText w:val="*"/>
      <w:lvlJc w:val="left"/>
    </w:lvl>
  </w:abstractNum>
  <w:abstractNum w:abstractNumId="1">
    <w:nsid w:val="039F217B"/>
    <w:multiLevelType w:val="hybridMultilevel"/>
    <w:tmpl w:val="306C1E24"/>
    <w:lvl w:ilvl="0" w:tplc="5CC4630C">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5E54FB1"/>
    <w:multiLevelType w:val="multilevel"/>
    <w:tmpl w:val="F92E1A04"/>
    <w:lvl w:ilvl="0">
      <w:start w:val="3"/>
      <w:numFmt w:val="decimal"/>
      <w:lvlText w:val="%1."/>
      <w:lvlJc w:val="left"/>
      <w:pPr>
        <w:ind w:left="390" w:hanging="39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860" w:hanging="144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788" w:hanging="1800"/>
      </w:pPr>
      <w:rPr>
        <w:rFonts w:hint="default"/>
        <w:b/>
      </w:rPr>
    </w:lvl>
    <w:lvl w:ilvl="8">
      <w:start w:val="1"/>
      <w:numFmt w:val="decimal"/>
      <w:lvlText w:val="%1.%2.%3.%4.%5.%6.%7.%8.%9."/>
      <w:lvlJc w:val="left"/>
      <w:pPr>
        <w:ind w:left="4432" w:hanging="2160"/>
      </w:pPr>
      <w:rPr>
        <w:rFonts w:hint="default"/>
        <w:b/>
      </w:rPr>
    </w:lvl>
  </w:abstractNum>
  <w:abstractNum w:abstractNumId="3">
    <w:nsid w:val="111F0EF5"/>
    <w:multiLevelType w:val="hybridMultilevel"/>
    <w:tmpl w:val="C0701728"/>
    <w:lvl w:ilvl="0" w:tplc="E1A05C6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74C64F0"/>
    <w:multiLevelType w:val="hybridMultilevel"/>
    <w:tmpl w:val="1E7E46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824455F"/>
    <w:multiLevelType w:val="multilevel"/>
    <w:tmpl w:val="25244D4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5920778"/>
    <w:multiLevelType w:val="hybridMultilevel"/>
    <w:tmpl w:val="230859C0"/>
    <w:lvl w:ilvl="0" w:tplc="D41CC696">
      <w:start w:val="23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5C8659E"/>
    <w:multiLevelType w:val="hybridMultilevel"/>
    <w:tmpl w:val="133A00CA"/>
    <w:lvl w:ilvl="0" w:tplc="BD9CAB4C">
      <w:start w:val="1"/>
      <w:numFmt w:val="decimal"/>
      <w:pStyle w:val="DCG16"/>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1D54E6A"/>
    <w:multiLevelType w:val="multilevel"/>
    <w:tmpl w:val="04E29D6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E752600"/>
    <w:multiLevelType w:val="hybridMultilevel"/>
    <w:tmpl w:val="5A247204"/>
    <w:lvl w:ilvl="0" w:tplc="4DECD1FC">
      <w:start w:val="20"/>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F96040E"/>
    <w:multiLevelType w:val="hybridMultilevel"/>
    <w:tmpl w:val="C7D827E8"/>
    <w:lvl w:ilvl="0" w:tplc="048CDB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55A35D3"/>
    <w:multiLevelType w:val="hybridMultilevel"/>
    <w:tmpl w:val="C91E2328"/>
    <w:lvl w:ilvl="0" w:tplc="19AAF90C">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6A8302F"/>
    <w:multiLevelType w:val="hybridMultilevel"/>
    <w:tmpl w:val="C93EEF1C"/>
    <w:lvl w:ilvl="0" w:tplc="99F0F39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78E2EAC"/>
    <w:multiLevelType w:val="hybridMultilevel"/>
    <w:tmpl w:val="6EECCB98"/>
    <w:lvl w:ilvl="0" w:tplc="19AAF90C">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EFC3295"/>
    <w:multiLevelType w:val="hybridMultilevel"/>
    <w:tmpl w:val="78086BE6"/>
    <w:lvl w:ilvl="0" w:tplc="F8E28AF6">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33C3F12"/>
    <w:multiLevelType w:val="hybridMultilevel"/>
    <w:tmpl w:val="C91E2328"/>
    <w:lvl w:ilvl="0" w:tplc="19AAF90C">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8444841"/>
    <w:multiLevelType w:val="hybridMultilevel"/>
    <w:tmpl w:val="1D4648C0"/>
    <w:lvl w:ilvl="0" w:tplc="C0DC513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9F2371C"/>
    <w:multiLevelType w:val="hybridMultilevel"/>
    <w:tmpl w:val="C91E2328"/>
    <w:lvl w:ilvl="0" w:tplc="19AAF90C">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D3F54A9"/>
    <w:multiLevelType w:val="hybridMultilevel"/>
    <w:tmpl w:val="23D63F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DEC3854"/>
    <w:multiLevelType w:val="hybridMultilevel"/>
    <w:tmpl w:val="EAD47556"/>
    <w:lvl w:ilvl="0" w:tplc="19AAF90C">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E587C0F"/>
    <w:multiLevelType w:val="hybridMultilevel"/>
    <w:tmpl w:val="C91E2328"/>
    <w:lvl w:ilvl="0" w:tplc="19AAF90C">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40D5A84"/>
    <w:multiLevelType w:val="hybridMultilevel"/>
    <w:tmpl w:val="C91E2328"/>
    <w:lvl w:ilvl="0" w:tplc="19AAF90C">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89676E1"/>
    <w:multiLevelType w:val="multilevel"/>
    <w:tmpl w:val="D5E41AF6"/>
    <w:lvl w:ilvl="0">
      <w:start w:val="2"/>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nsid w:val="7AF66FF7"/>
    <w:multiLevelType w:val="hybridMultilevel"/>
    <w:tmpl w:val="C91E2328"/>
    <w:lvl w:ilvl="0" w:tplc="19AAF90C">
      <w:start w:val="1"/>
      <w:numFmt w:val="decimal"/>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EFD0D17"/>
    <w:multiLevelType w:val="hybridMultilevel"/>
    <w:tmpl w:val="D6D42834"/>
    <w:lvl w:ilvl="0" w:tplc="5CC4630C">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7"/>
  </w:num>
  <w:num w:numId="3">
    <w:abstractNumId w:val="3"/>
  </w:num>
  <w:num w:numId="4">
    <w:abstractNumId w:val="16"/>
  </w:num>
  <w:num w:numId="5">
    <w:abstractNumId w:val="12"/>
  </w:num>
  <w:num w:numId="6">
    <w:abstractNumId w:val="14"/>
  </w:num>
  <w:num w:numId="7">
    <w:abstractNumId w:val="0"/>
    <w:lvlOverride w:ilvl="0">
      <w:lvl w:ilvl="0">
        <w:start w:val="65535"/>
        <w:numFmt w:val="bullet"/>
        <w:lvlText w:val="•"/>
        <w:legacy w:legacy="1" w:legacySpace="0" w:legacyIndent="135"/>
        <w:lvlJc w:val="left"/>
        <w:rPr>
          <w:rFonts w:ascii="Arial" w:hAnsi="Arial" w:cs="Arial" w:hint="default"/>
        </w:rPr>
      </w:lvl>
    </w:lvlOverride>
  </w:num>
  <w:num w:numId="8">
    <w:abstractNumId w:val="15"/>
  </w:num>
  <w:num w:numId="9">
    <w:abstractNumId w:val="18"/>
  </w:num>
  <w:num w:numId="10">
    <w:abstractNumId w:val="19"/>
  </w:num>
  <w:num w:numId="11">
    <w:abstractNumId w:val="1"/>
  </w:num>
  <w:num w:numId="12">
    <w:abstractNumId w:val="9"/>
  </w:num>
  <w:num w:numId="13">
    <w:abstractNumId w:val="23"/>
  </w:num>
  <w:num w:numId="14">
    <w:abstractNumId w:val="13"/>
  </w:num>
  <w:num w:numId="15">
    <w:abstractNumId w:val="17"/>
  </w:num>
  <w:num w:numId="16">
    <w:abstractNumId w:val="11"/>
  </w:num>
  <w:num w:numId="17">
    <w:abstractNumId w:val="20"/>
  </w:num>
  <w:num w:numId="18">
    <w:abstractNumId w:val="10"/>
  </w:num>
  <w:num w:numId="19">
    <w:abstractNumId w:val="4"/>
  </w:num>
  <w:num w:numId="20">
    <w:abstractNumId w:val="21"/>
  </w:num>
  <w:num w:numId="21">
    <w:abstractNumId w:val="5"/>
  </w:num>
  <w:num w:numId="22">
    <w:abstractNumId w:val="6"/>
  </w:num>
  <w:num w:numId="23">
    <w:abstractNumId w:val="22"/>
  </w:num>
  <w:num w:numId="24">
    <w:abstractNumId w:val="8"/>
  </w:num>
  <w:num w:numId="25">
    <w:abstractNumId w:val="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56A"/>
    <w:rsid w:val="00000556"/>
    <w:rsid w:val="00000A4B"/>
    <w:rsid w:val="00000DD7"/>
    <w:rsid w:val="00001415"/>
    <w:rsid w:val="000021A8"/>
    <w:rsid w:val="00002448"/>
    <w:rsid w:val="000040C7"/>
    <w:rsid w:val="000046DB"/>
    <w:rsid w:val="00004AE3"/>
    <w:rsid w:val="00004B17"/>
    <w:rsid w:val="000059CE"/>
    <w:rsid w:val="00006080"/>
    <w:rsid w:val="000060C0"/>
    <w:rsid w:val="00011899"/>
    <w:rsid w:val="0001206B"/>
    <w:rsid w:val="00013105"/>
    <w:rsid w:val="000135AC"/>
    <w:rsid w:val="00013EDB"/>
    <w:rsid w:val="00014815"/>
    <w:rsid w:val="00014982"/>
    <w:rsid w:val="00015179"/>
    <w:rsid w:val="000163F7"/>
    <w:rsid w:val="000203DF"/>
    <w:rsid w:val="0002055B"/>
    <w:rsid w:val="0002485A"/>
    <w:rsid w:val="00025346"/>
    <w:rsid w:val="0002584C"/>
    <w:rsid w:val="0002600A"/>
    <w:rsid w:val="00027814"/>
    <w:rsid w:val="0002789E"/>
    <w:rsid w:val="00027B19"/>
    <w:rsid w:val="00027D58"/>
    <w:rsid w:val="000329A1"/>
    <w:rsid w:val="00032FA7"/>
    <w:rsid w:val="00034B0D"/>
    <w:rsid w:val="00034CFB"/>
    <w:rsid w:val="000359F6"/>
    <w:rsid w:val="00035FA8"/>
    <w:rsid w:val="000376E6"/>
    <w:rsid w:val="00040F73"/>
    <w:rsid w:val="00043F85"/>
    <w:rsid w:val="00044931"/>
    <w:rsid w:val="0004571B"/>
    <w:rsid w:val="000457FE"/>
    <w:rsid w:val="00045D51"/>
    <w:rsid w:val="00047169"/>
    <w:rsid w:val="00047E85"/>
    <w:rsid w:val="000503E2"/>
    <w:rsid w:val="000508A1"/>
    <w:rsid w:val="0005131C"/>
    <w:rsid w:val="00052D87"/>
    <w:rsid w:val="000544A4"/>
    <w:rsid w:val="00054706"/>
    <w:rsid w:val="00055443"/>
    <w:rsid w:val="0005654B"/>
    <w:rsid w:val="000569C4"/>
    <w:rsid w:val="00057821"/>
    <w:rsid w:val="0006094E"/>
    <w:rsid w:val="00061171"/>
    <w:rsid w:val="000612F8"/>
    <w:rsid w:val="000616A9"/>
    <w:rsid w:val="00062B0C"/>
    <w:rsid w:val="0006513A"/>
    <w:rsid w:val="0006561A"/>
    <w:rsid w:val="00066B38"/>
    <w:rsid w:val="00067534"/>
    <w:rsid w:val="0006757F"/>
    <w:rsid w:val="0006790F"/>
    <w:rsid w:val="0007114E"/>
    <w:rsid w:val="000726E6"/>
    <w:rsid w:val="00074451"/>
    <w:rsid w:val="00076C31"/>
    <w:rsid w:val="0008017A"/>
    <w:rsid w:val="00081924"/>
    <w:rsid w:val="00081C05"/>
    <w:rsid w:val="00082535"/>
    <w:rsid w:val="000837C6"/>
    <w:rsid w:val="00083FBE"/>
    <w:rsid w:val="0008628C"/>
    <w:rsid w:val="000865CF"/>
    <w:rsid w:val="00087ABD"/>
    <w:rsid w:val="000900C7"/>
    <w:rsid w:val="000920DB"/>
    <w:rsid w:val="00092AA2"/>
    <w:rsid w:val="000942C8"/>
    <w:rsid w:val="00094E4B"/>
    <w:rsid w:val="00095768"/>
    <w:rsid w:val="000958B7"/>
    <w:rsid w:val="000973BA"/>
    <w:rsid w:val="00097E59"/>
    <w:rsid w:val="00097ECE"/>
    <w:rsid w:val="000A00CE"/>
    <w:rsid w:val="000A17A9"/>
    <w:rsid w:val="000A2172"/>
    <w:rsid w:val="000A381C"/>
    <w:rsid w:val="000A5AA3"/>
    <w:rsid w:val="000A66C2"/>
    <w:rsid w:val="000A7523"/>
    <w:rsid w:val="000A772C"/>
    <w:rsid w:val="000B0887"/>
    <w:rsid w:val="000B1B67"/>
    <w:rsid w:val="000B5245"/>
    <w:rsid w:val="000B6643"/>
    <w:rsid w:val="000C1517"/>
    <w:rsid w:val="000C2FD4"/>
    <w:rsid w:val="000C3496"/>
    <w:rsid w:val="000C3E78"/>
    <w:rsid w:val="000C4440"/>
    <w:rsid w:val="000C52E2"/>
    <w:rsid w:val="000C5705"/>
    <w:rsid w:val="000C6414"/>
    <w:rsid w:val="000C6AFC"/>
    <w:rsid w:val="000C7ECF"/>
    <w:rsid w:val="000D049C"/>
    <w:rsid w:val="000D21AC"/>
    <w:rsid w:val="000D2EFA"/>
    <w:rsid w:val="000D32EB"/>
    <w:rsid w:val="000D546D"/>
    <w:rsid w:val="000D591F"/>
    <w:rsid w:val="000D7DA5"/>
    <w:rsid w:val="000E0CA9"/>
    <w:rsid w:val="000E322E"/>
    <w:rsid w:val="000E341F"/>
    <w:rsid w:val="000E345D"/>
    <w:rsid w:val="000E5544"/>
    <w:rsid w:val="000E6BE4"/>
    <w:rsid w:val="000E6CAE"/>
    <w:rsid w:val="000F0305"/>
    <w:rsid w:val="000F0437"/>
    <w:rsid w:val="000F095B"/>
    <w:rsid w:val="000F1273"/>
    <w:rsid w:val="000F236A"/>
    <w:rsid w:val="000F46EA"/>
    <w:rsid w:val="000F5395"/>
    <w:rsid w:val="000F5DC1"/>
    <w:rsid w:val="000F619E"/>
    <w:rsid w:val="000F6326"/>
    <w:rsid w:val="001012A3"/>
    <w:rsid w:val="00102EA0"/>
    <w:rsid w:val="001030E8"/>
    <w:rsid w:val="001038FB"/>
    <w:rsid w:val="00103AA9"/>
    <w:rsid w:val="00104338"/>
    <w:rsid w:val="00105A37"/>
    <w:rsid w:val="001062AE"/>
    <w:rsid w:val="00106745"/>
    <w:rsid w:val="00106823"/>
    <w:rsid w:val="00110097"/>
    <w:rsid w:val="0011192D"/>
    <w:rsid w:val="0011262C"/>
    <w:rsid w:val="00112751"/>
    <w:rsid w:val="00112928"/>
    <w:rsid w:val="001135EE"/>
    <w:rsid w:val="00115875"/>
    <w:rsid w:val="0011592E"/>
    <w:rsid w:val="001165AC"/>
    <w:rsid w:val="001166E1"/>
    <w:rsid w:val="00117420"/>
    <w:rsid w:val="001178CF"/>
    <w:rsid w:val="00117BBE"/>
    <w:rsid w:val="001201DD"/>
    <w:rsid w:val="00120D00"/>
    <w:rsid w:val="00121026"/>
    <w:rsid w:val="001223F9"/>
    <w:rsid w:val="00123106"/>
    <w:rsid w:val="00123B0A"/>
    <w:rsid w:val="00124138"/>
    <w:rsid w:val="0012418A"/>
    <w:rsid w:val="00126436"/>
    <w:rsid w:val="00126715"/>
    <w:rsid w:val="001271E5"/>
    <w:rsid w:val="00130200"/>
    <w:rsid w:val="00130B81"/>
    <w:rsid w:val="0013289D"/>
    <w:rsid w:val="001335C4"/>
    <w:rsid w:val="0013519E"/>
    <w:rsid w:val="001371CD"/>
    <w:rsid w:val="001379C3"/>
    <w:rsid w:val="0014011E"/>
    <w:rsid w:val="00140A78"/>
    <w:rsid w:val="00140D9B"/>
    <w:rsid w:val="00141BED"/>
    <w:rsid w:val="00141ED7"/>
    <w:rsid w:val="00142570"/>
    <w:rsid w:val="001426CE"/>
    <w:rsid w:val="00142CB8"/>
    <w:rsid w:val="00143D49"/>
    <w:rsid w:val="00144E42"/>
    <w:rsid w:val="0014581E"/>
    <w:rsid w:val="00145A4F"/>
    <w:rsid w:val="00147062"/>
    <w:rsid w:val="001514C5"/>
    <w:rsid w:val="0015159C"/>
    <w:rsid w:val="00154C87"/>
    <w:rsid w:val="00154D81"/>
    <w:rsid w:val="00155998"/>
    <w:rsid w:val="00155C48"/>
    <w:rsid w:val="001566AE"/>
    <w:rsid w:val="001570CA"/>
    <w:rsid w:val="0015774E"/>
    <w:rsid w:val="00162C6B"/>
    <w:rsid w:val="0016318C"/>
    <w:rsid w:val="00163AED"/>
    <w:rsid w:val="0016454D"/>
    <w:rsid w:val="00164D3B"/>
    <w:rsid w:val="001661BE"/>
    <w:rsid w:val="00166C25"/>
    <w:rsid w:val="00167E1F"/>
    <w:rsid w:val="00170348"/>
    <w:rsid w:val="0017130F"/>
    <w:rsid w:val="0017205E"/>
    <w:rsid w:val="0017257F"/>
    <w:rsid w:val="001731A4"/>
    <w:rsid w:val="00173A86"/>
    <w:rsid w:val="0017445F"/>
    <w:rsid w:val="00174C26"/>
    <w:rsid w:val="00175CB8"/>
    <w:rsid w:val="00176A2C"/>
    <w:rsid w:val="00180FFA"/>
    <w:rsid w:val="001817AE"/>
    <w:rsid w:val="001829BE"/>
    <w:rsid w:val="00183A55"/>
    <w:rsid w:val="001840BD"/>
    <w:rsid w:val="00184385"/>
    <w:rsid w:val="001858C0"/>
    <w:rsid w:val="00185F9C"/>
    <w:rsid w:val="001867FD"/>
    <w:rsid w:val="001874EA"/>
    <w:rsid w:val="0019080B"/>
    <w:rsid w:val="00190A37"/>
    <w:rsid w:val="00192EEB"/>
    <w:rsid w:val="00194580"/>
    <w:rsid w:val="00194BD4"/>
    <w:rsid w:val="00194DE8"/>
    <w:rsid w:val="00194F7B"/>
    <w:rsid w:val="001974F7"/>
    <w:rsid w:val="001A0B0E"/>
    <w:rsid w:val="001A13F2"/>
    <w:rsid w:val="001A1908"/>
    <w:rsid w:val="001A211E"/>
    <w:rsid w:val="001A23D4"/>
    <w:rsid w:val="001B0EE5"/>
    <w:rsid w:val="001B14FB"/>
    <w:rsid w:val="001B39A0"/>
    <w:rsid w:val="001B60F6"/>
    <w:rsid w:val="001B69DA"/>
    <w:rsid w:val="001B7779"/>
    <w:rsid w:val="001B7EE4"/>
    <w:rsid w:val="001C1185"/>
    <w:rsid w:val="001C1BB5"/>
    <w:rsid w:val="001C2386"/>
    <w:rsid w:val="001C270B"/>
    <w:rsid w:val="001C43F6"/>
    <w:rsid w:val="001C440D"/>
    <w:rsid w:val="001C4783"/>
    <w:rsid w:val="001C4937"/>
    <w:rsid w:val="001C4F30"/>
    <w:rsid w:val="001C65A7"/>
    <w:rsid w:val="001C6BA8"/>
    <w:rsid w:val="001C704C"/>
    <w:rsid w:val="001C77B1"/>
    <w:rsid w:val="001D03F7"/>
    <w:rsid w:val="001D1DBD"/>
    <w:rsid w:val="001D3D0C"/>
    <w:rsid w:val="001D5691"/>
    <w:rsid w:val="001D5A47"/>
    <w:rsid w:val="001D7027"/>
    <w:rsid w:val="001D76DF"/>
    <w:rsid w:val="001D7C4C"/>
    <w:rsid w:val="001E0CF9"/>
    <w:rsid w:val="001E2302"/>
    <w:rsid w:val="001E2E2D"/>
    <w:rsid w:val="001E6273"/>
    <w:rsid w:val="001F0E74"/>
    <w:rsid w:val="001F59E8"/>
    <w:rsid w:val="001F6737"/>
    <w:rsid w:val="00201021"/>
    <w:rsid w:val="00201DB9"/>
    <w:rsid w:val="00202FA5"/>
    <w:rsid w:val="0020302D"/>
    <w:rsid w:val="00203A58"/>
    <w:rsid w:val="00203CDD"/>
    <w:rsid w:val="00204999"/>
    <w:rsid w:val="00205570"/>
    <w:rsid w:val="002059B4"/>
    <w:rsid w:val="0020647C"/>
    <w:rsid w:val="002124CB"/>
    <w:rsid w:val="0021289A"/>
    <w:rsid w:val="002209F0"/>
    <w:rsid w:val="002242C7"/>
    <w:rsid w:val="00224498"/>
    <w:rsid w:val="00224CC1"/>
    <w:rsid w:val="00225A0F"/>
    <w:rsid w:val="002313B1"/>
    <w:rsid w:val="00231CDE"/>
    <w:rsid w:val="0023354C"/>
    <w:rsid w:val="00233EF5"/>
    <w:rsid w:val="0023518B"/>
    <w:rsid w:val="002367DA"/>
    <w:rsid w:val="00237341"/>
    <w:rsid w:val="00237578"/>
    <w:rsid w:val="00237975"/>
    <w:rsid w:val="002414EB"/>
    <w:rsid w:val="00241603"/>
    <w:rsid w:val="00242741"/>
    <w:rsid w:val="0024431E"/>
    <w:rsid w:val="00244F58"/>
    <w:rsid w:val="002458FE"/>
    <w:rsid w:val="0024629E"/>
    <w:rsid w:val="00246974"/>
    <w:rsid w:val="0025123C"/>
    <w:rsid w:val="0025295A"/>
    <w:rsid w:val="00253364"/>
    <w:rsid w:val="002538A1"/>
    <w:rsid w:val="00256737"/>
    <w:rsid w:val="002570D3"/>
    <w:rsid w:val="002606BB"/>
    <w:rsid w:val="00261468"/>
    <w:rsid w:val="00263586"/>
    <w:rsid w:val="002642BC"/>
    <w:rsid w:val="00264629"/>
    <w:rsid w:val="002651A7"/>
    <w:rsid w:val="00265414"/>
    <w:rsid w:val="002663F6"/>
    <w:rsid w:val="00266C82"/>
    <w:rsid w:val="00270109"/>
    <w:rsid w:val="0027076A"/>
    <w:rsid w:val="00270C9A"/>
    <w:rsid w:val="0027237C"/>
    <w:rsid w:val="00273482"/>
    <w:rsid w:val="002736F6"/>
    <w:rsid w:val="00274901"/>
    <w:rsid w:val="002762F6"/>
    <w:rsid w:val="002763B1"/>
    <w:rsid w:val="00277131"/>
    <w:rsid w:val="00277A92"/>
    <w:rsid w:val="00281D5A"/>
    <w:rsid w:val="002837B6"/>
    <w:rsid w:val="00283FB5"/>
    <w:rsid w:val="002843F0"/>
    <w:rsid w:val="0028581E"/>
    <w:rsid w:val="00285C8E"/>
    <w:rsid w:val="00292049"/>
    <w:rsid w:val="00292890"/>
    <w:rsid w:val="00292ED3"/>
    <w:rsid w:val="002935B1"/>
    <w:rsid w:val="00297223"/>
    <w:rsid w:val="0029769C"/>
    <w:rsid w:val="002A2A66"/>
    <w:rsid w:val="002A39D2"/>
    <w:rsid w:val="002A62FD"/>
    <w:rsid w:val="002A64AB"/>
    <w:rsid w:val="002A7A90"/>
    <w:rsid w:val="002B184B"/>
    <w:rsid w:val="002B2625"/>
    <w:rsid w:val="002B3682"/>
    <w:rsid w:val="002B3DA5"/>
    <w:rsid w:val="002B5423"/>
    <w:rsid w:val="002B55F7"/>
    <w:rsid w:val="002B773B"/>
    <w:rsid w:val="002B79E2"/>
    <w:rsid w:val="002C025E"/>
    <w:rsid w:val="002C12EE"/>
    <w:rsid w:val="002C138F"/>
    <w:rsid w:val="002C1714"/>
    <w:rsid w:val="002C2EFC"/>
    <w:rsid w:val="002C3B28"/>
    <w:rsid w:val="002C4715"/>
    <w:rsid w:val="002C4B55"/>
    <w:rsid w:val="002C5278"/>
    <w:rsid w:val="002C7B91"/>
    <w:rsid w:val="002D2A76"/>
    <w:rsid w:val="002D3BC5"/>
    <w:rsid w:val="002D4FFD"/>
    <w:rsid w:val="002D5124"/>
    <w:rsid w:val="002D5FFF"/>
    <w:rsid w:val="002D6EEC"/>
    <w:rsid w:val="002D7389"/>
    <w:rsid w:val="002E199B"/>
    <w:rsid w:val="002E75E9"/>
    <w:rsid w:val="002E78CA"/>
    <w:rsid w:val="002F13A2"/>
    <w:rsid w:val="002F1ED5"/>
    <w:rsid w:val="002F24A8"/>
    <w:rsid w:val="002F3F3D"/>
    <w:rsid w:val="002F4063"/>
    <w:rsid w:val="002F42F4"/>
    <w:rsid w:val="002F4669"/>
    <w:rsid w:val="002F4E6F"/>
    <w:rsid w:val="002F6886"/>
    <w:rsid w:val="00301AC0"/>
    <w:rsid w:val="00301F6C"/>
    <w:rsid w:val="003027F9"/>
    <w:rsid w:val="0030315F"/>
    <w:rsid w:val="00303209"/>
    <w:rsid w:val="00303E36"/>
    <w:rsid w:val="00304A90"/>
    <w:rsid w:val="00306EBE"/>
    <w:rsid w:val="00310DAA"/>
    <w:rsid w:val="00311A74"/>
    <w:rsid w:val="00312470"/>
    <w:rsid w:val="00313162"/>
    <w:rsid w:val="00313193"/>
    <w:rsid w:val="003146AE"/>
    <w:rsid w:val="00316334"/>
    <w:rsid w:val="0031697C"/>
    <w:rsid w:val="00317DD7"/>
    <w:rsid w:val="003204F1"/>
    <w:rsid w:val="00320835"/>
    <w:rsid w:val="00320F4F"/>
    <w:rsid w:val="00321200"/>
    <w:rsid w:val="00321870"/>
    <w:rsid w:val="00322AC3"/>
    <w:rsid w:val="00323032"/>
    <w:rsid w:val="0032332C"/>
    <w:rsid w:val="00323C04"/>
    <w:rsid w:val="00323FCF"/>
    <w:rsid w:val="0032606F"/>
    <w:rsid w:val="00326E25"/>
    <w:rsid w:val="003275F1"/>
    <w:rsid w:val="003302DE"/>
    <w:rsid w:val="0033135B"/>
    <w:rsid w:val="00331DBD"/>
    <w:rsid w:val="00333C09"/>
    <w:rsid w:val="0033563E"/>
    <w:rsid w:val="00335766"/>
    <w:rsid w:val="00335E09"/>
    <w:rsid w:val="003421AB"/>
    <w:rsid w:val="0034394F"/>
    <w:rsid w:val="00344574"/>
    <w:rsid w:val="003450E0"/>
    <w:rsid w:val="00346623"/>
    <w:rsid w:val="00347BE1"/>
    <w:rsid w:val="00350340"/>
    <w:rsid w:val="00350ADF"/>
    <w:rsid w:val="00350CE3"/>
    <w:rsid w:val="003522DE"/>
    <w:rsid w:val="00352EC8"/>
    <w:rsid w:val="00355AF5"/>
    <w:rsid w:val="00356BB4"/>
    <w:rsid w:val="003577B2"/>
    <w:rsid w:val="00360919"/>
    <w:rsid w:val="003615CC"/>
    <w:rsid w:val="00362164"/>
    <w:rsid w:val="0036344B"/>
    <w:rsid w:val="0036431A"/>
    <w:rsid w:val="00364AC9"/>
    <w:rsid w:val="003654C9"/>
    <w:rsid w:val="00365D5D"/>
    <w:rsid w:val="0036643E"/>
    <w:rsid w:val="0036648D"/>
    <w:rsid w:val="003708EC"/>
    <w:rsid w:val="00371D89"/>
    <w:rsid w:val="00372576"/>
    <w:rsid w:val="00372CEE"/>
    <w:rsid w:val="00373309"/>
    <w:rsid w:val="00373E4A"/>
    <w:rsid w:val="00375FBF"/>
    <w:rsid w:val="003802B3"/>
    <w:rsid w:val="0038116B"/>
    <w:rsid w:val="00381451"/>
    <w:rsid w:val="00382E72"/>
    <w:rsid w:val="00384643"/>
    <w:rsid w:val="00384A0E"/>
    <w:rsid w:val="00384FCB"/>
    <w:rsid w:val="00385107"/>
    <w:rsid w:val="00385140"/>
    <w:rsid w:val="00385417"/>
    <w:rsid w:val="00385695"/>
    <w:rsid w:val="003860E5"/>
    <w:rsid w:val="00387FFE"/>
    <w:rsid w:val="00391602"/>
    <w:rsid w:val="00396217"/>
    <w:rsid w:val="00396F8F"/>
    <w:rsid w:val="0039740F"/>
    <w:rsid w:val="00397A89"/>
    <w:rsid w:val="00397C4A"/>
    <w:rsid w:val="00397D17"/>
    <w:rsid w:val="003A04EF"/>
    <w:rsid w:val="003A0DA5"/>
    <w:rsid w:val="003A0E60"/>
    <w:rsid w:val="003A2305"/>
    <w:rsid w:val="003A363B"/>
    <w:rsid w:val="003A470E"/>
    <w:rsid w:val="003A4789"/>
    <w:rsid w:val="003A48FD"/>
    <w:rsid w:val="003A4CF2"/>
    <w:rsid w:val="003A595D"/>
    <w:rsid w:val="003A5ACF"/>
    <w:rsid w:val="003A603D"/>
    <w:rsid w:val="003A68D7"/>
    <w:rsid w:val="003A7F01"/>
    <w:rsid w:val="003B189C"/>
    <w:rsid w:val="003B5578"/>
    <w:rsid w:val="003B5E69"/>
    <w:rsid w:val="003B6C39"/>
    <w:rsid w:val="003B6EEC"/>
    <w:rsid w:val="003B7473"/>
    <w:rsid w:val="003C049D"/>
    <w:rsid w:val="003C3A34"/>
    <w:rsid w:val="003C430B"/>
    <w:rsid w:val="003C52B0"/>
    <w:rsid w:val="003C71B5"/>
    <w:rsid w:val="003C7853"/>
    <w:rsid w:val="003D02DE"/>
    <w:rsid w:val="003D0AE6"/>
    <w:rsid w:val="003D2AF3"/>
    <w:rsid w:val="003D2C19"/>
    <w:rsid w:val="003D2C78"/>
    <w:rsid w:val="003D335D"/>
    <w:rsid w:val="003D3453"/>
    <w:rsid w:val="003D34E6"/>
    <w:rsid w:val="003D3D3E"/>
    <w:rsid w:val="003D42A6"/>
    <w:rsid w:val="003D48A7"/>
    <w:rsid w:val="003D4FCE"/>
    <w:rsid w:val="003D59AF"/>
    <w:rsid w:val="003D5A43"/>
    <w:rsid w:val="003D6BE9"/>
    <w:rsid w:val="003D6C21"/>
    <w:rsid w:val="003D6CE6"/>
    <w:rsid w:val="003D7386"/>
    <w:rsid w:val="003D7887"/>
    <w:rsid w:val="003D7E52"/>
    <w:rsid w:val="003E0F4F"/>
    <w:rsid w:val="003E1C1D"/>
    <w:rsid w:val="003E2CC2"/>
    <w:rsid w:val="003E49D4"/>
    <w:rsid w:val="003E4A4F"/>
    <w:rsid w:val="003E4DF0"/>
    <w:rsid w:val="003E6185"/>
    <w:rsid w:val="003F0A47"/>
    <w:rsid w:val="003F10C3"/>
    <w:rsid w:val="003F2DAA"/>
    <w:rsid w:val="003F474C"/>
    <w:rsid w:val="003F48DB"/>
    <w:rsid w:val="003F4DD0"/>
    <w:rsid w:val="003F7A1A"/>
    <w:rsid w:val="00400502"/>
    <w:rsid w:val="004011F3"/>
    <w:rsid w:val="004014DC"/>
    <w:rsid w:val="00402A7E"/>
    <w:rsid w:val="00403BF1"/>
    <w:rsid w:val="004043A8"/>
    <w:rsid w:val="00404EEB"/>
    <w:rsid w:val="0040673C"/>
    <w:rsid w:val="00411174"/>
    <w:rsid w:val="004118EF"/>
    <w:rsid w:val="0041247F"/>
    <w:rsid w:val="00413033"/>
    <w:rsid w:val="00413102"/>
    <w:rsid w:val="00414688"/>
    <w:rsid w:val="00415ED1"/>
    <w:rsid w:val="00415EE9"/>
    <w:rsid w:val="00416014"/>
    <w:rsid w:val="00416102"/>
    <w:rsid w:val="00416757"/>
    <w:rsid w:val="00420577"/>
    <w:rsid w:val="004205C1"/>
    <w:rsid w:val="0042135C"/>
    <w:rsid w:val="004218AF"/>
    <w:rsid w:val="004231D0"/>
    <w:rsid w:val="004237AC"/>
    <w:rsid w:val="004237E9"/>
    <w:rsid w:val="00423B24"/>
    <w:rsid w:val="004256FE"/>
    <w:rsid w:val="00426536"/>
    <w:rsid w:val="0042671A"/>
    <w:rsid w:val="00426CF9"/>
    <w:rsid w:val="00430303"/>
    <w:rsid w:val="00430C28"/>
    <w:rsid w:val="00432AC7"/>
    <w:rsid w:val="00432CC4"/>
    <w:rsid w:val="00433791"/>
    <w:rsid w:val="00434834"/>
    <w:rsid w:val="004353C0"/>
    <w:rsid w:val="00435832"/>
    <w:rsid w:val="00436173"/>
    <w:rsid w:val="00436553"/>
    <w:rsid w:val="00437550"/>
    <w:rsid w:val="00437920"/>
    <w:rsid w:val="00437B3F"/>
    <w:rsid w:val="00437E0B"/>
    <w:rsid w:val="00441B57"/>
    <w:rsid w:val="004442E8"/>
    <w:rsid w:val="00445A1F"/>
    <w:rsid w:val="0044687D"/>
    <w:rsid w:val="00450239"/>
    <w:rsid w:val="00450386"/>
    <w:rsid w:val="00452A13"/>
    <w:rsid w:val="004530DD"/>
    <w:rsid w:val="004543A0"/>
    <w:rsid w:val="004558C2"/>
    <w:rsid w:val="0046184C"/>
    <w:rsid w:val="00463BA7"/>
    <w:rsid w:val="00465146"/>
    <w:rsid w:val="00465BC2"/>
    <w:rsid w:val="004668E1"/>
    <w:rsid w:val="00471158"/>
    <w:rsid w:val="00471C08"/>
    <w:rsid w:val="00471CE3"/>
    <w:rsid w:val="00472738"/>
    <w:rsid w:val="00472783"/>
    <w:rsid w:val="00472BFA"/>
    <w:rsid w:val="004730A6"/>
    <w:rsid w:val="00473DFD"/>
    <w:rsid w:val="004774FA"/>
    <w:rsid w:val="004802FB"/>
    <w:rsid w:val="00480786"/>
    <w:rsid w:val="00481297"/>
    <w:rsid w:val="004814C2"/>
    <w:rsid w:val="00482058"/>
    <w:rsid w:val="00482C66"/>
    <w:rsid w:val="00484999"/>
    <w:rsid w:val="00485FA2"/>
    <w:rsid w:val="004863B6"/>
    <w:rsid w:val="004865F9"/>
    <w:rsid w:val="00487FA3"/>
    <w:rsid w:val="00490D2F"/>
    <w:rsid w:val="004911B7"/>
    <w:rsid w:val="0049148B"/>
    <w:rsid w:val="00492128"/>
    <w:rsid w:val="0049497C"/>
    <w:rsid w:val="00496049"/>
    <w:rsid w:val="0049672F"/>
    <w:rsid w:val="004A0BCA"/>
    <w:rsid w:val="004A0DB7"/>
    <w:rsid w:val="004A0E6C"/>
    <w:rsid w:val="004A15EF"/>
    <w:rsid w:val="004A2B29"/>
    <w:rsid w:val="004A2FB5"/>
    <w:rsid w:val="004A45BC"/>
    <w:rsid w:val="004A6C49"/>
    <w:rsid w:val="004A7829"/>
    <w:rsid w:val="004A7EAA"/>
    <w:rsid w:val="004B074B"/>
    <w:rsid w:val="004B088B"/>
    <w:rsid w:val="004B1EBF"/>
    <w:rsid w:val="004B20E4"/>
    <w:rsid w:val="004B257C"/>
    <w:rsid w:val="004B29F5"/>
    <w:rsid w:val="004B4433"/>
    <w:rsid w:val="004B4646"/>
    <w:rsid w:val="004B4D8B"/>
    <w:rsid w:val="004B5C2A"/>
    <w:rsid w:val="004B6768"/>
    <w:rsid w:val="004B77AF"/>
    <w:rsid w:val="004C00FD"/>
    <w:rsid w:val="004C0A1D"/>
    <w:rsid w:val="004C0A2C"/>
    <w:rsid w:val="004C1A9E"/>
    <w:rsid w:val="004C321A"/>
    <w:rsid w:val="004C34D7"/>
    <w:rsid w:val="004C36C1"/>
    <w:rsid w:val="004C3CBB"/>
    <w:rsid w:val="004C40A7"/>
    <w:rsid w:val="004C58D4"/>
    <w:rsid w:val="004C68C1"/>
    <w:rsid w:val="004C6BFB"/>
    <w:rsid w:val="004C6E62"/>
    <w:rsid w:val="004C7B7C"/>
    <w:rsid w:val="004D05F3"/>
    <w:rsid w:val="004D0C2E"/>
    <w:rsid w:val="004D1B30"/>
    <w:rsid w:val="004D1FF9"/>
    <w:rsid w:val="004D35B6"/>
    <w:rsid w:val="004D4390"/>
    <w:rsid w:val="004D4641"/>
    <w:rsid w:val="004D4EB3"/>
    <w:rsid w:val="004D5412"/>
    <w:rsid w:val="004D5A3B"/>
    <w:rsid w:val="004D5A41"/>
    <w:rsid w:val="004E04F7"/>
    <w:rsid w:val="004E0653"/>
    <w:rsid w:val="004E0FB6"/>
    <w:rsid w:val="004E1739"/>
    <w:rsid w:val="004E22E1"/>
    <w:rsid w:val="004E23FE"/>
    <w:rsid w:val="004E2BCA"/>
    <w:rsid w:val="004E339D"/>
    <w:rsid w:val="004E3DA9"/>
    <w:rsid w:val="004E3DED"/>
    <w:rsid w:val="004E450D"/>
    <w:rsid w:val="004E568D"/>
    <w:rsid w:val="004E6250"/>
    <w:rsid w:val="004E6B67"/>
    <w:rsid w:val="004E6E4B"/>
    <w:rsid w:val="004E71FD"/>
    <w:rsid w:val="004E7FC5"/>
    <w:rsid w:val="004F0854"/>
    <w:rsid w:val="004F0FED"/>
    <w:rsid w:val="004F210E"/>
    <w:rsid w:val="004F26C1"/>
    <w:rsid w:val="004F3812"/>
    <w:rsid w:val="004F4BB6"/>
    <w:rsid w:val="004F57A5"/>
    <w:rsid w:val="004F726E"/>
    <w:rsid w:val="004F7438"/>
    <w:rsid w:val="004F7AFE"/>
    <w:rsid w:val="004F7DE3"/>
    <w:rsid w:val="005005A4"/>
    <w:rsid w:val="005014CB"/>
    <w:rsid w:val="005014D0"/>
    <w:rsid w:val="00502D5C"/>
    <w:rsid w:val="0050311E"/>
    <w:rsid w:val="00503FE7"/>
    <w:rsid w:val="00505512"/>
    <w:rsid w:val="00505806"/>
    <w:rsid w:val="00505CAC"/>
    <w:rsid w:val="00506593"/>
    <w:rsid w:val="005076C9"/>
    <w:rsid w:val="005079E5"/>
    <w:rsid w:val="005107CE"/>
    <w:rsid w:val="00511207"/>
    <w:rsid w:val="00511544"/>
    <w:rsid w:val="00512686"/>
    <w:rsid w:val="00512CDD"/>
    <w:rsid w:val="005140F0"/>
    <w:rsid w:val="005144E7"/>
    <w:rsid w:val="005151E6"/>
    <w:rsid w:val="00515D6D"/>
    <w:rsid w:val="005163EB"/>
    <w:rsid w:val="0051643B"/>
    <w:rsid w:val="00517219"/>
    <w:rsid w:val="00517668"/>
    <w:rsid w:val="00517C9C"/>
    <w:rsid w:val="005207E4"/>
    <w:rsid w:val="00520DB8"/>
    <w:rsid w:val="00521902"/>
    <w:rsid w:val="00523A16"/>
    <w:rsid w:val="00525645"/>
    <w:rsid w:val="005257E4"/>
    <w:rsid w:val="005259C8"/>
    <w:rsid w:val="00527743"/>
    <w:rsid w:val="00527794"/>
    <w:rsid w:val="005277D0"/>
    <w:rsid w:val="0053100B"/>
    <w:rsid w:val="00531490"/>
    <w:rsid w:val="00533A82"/>
    <w:rsid w:val="005345FD"/>
    <w:rsid w:val="00534988"/>
    <w:rsid w:val="00534A6C"/>
    <w:rsid w:val="00536960"/>
    <w:rsid w:val="00536CA3"/>
    <w:rsid w:val="00540B7C"/>
    <w:rsid w:val="00543D5C"/>
    <w:rsid w:val="005441F7"/>
    <w:rsid w:val="005447B0"/>
    <w:rsid w:val="00546D83"/>
    <w:rsid w:val="00547EB1"/>
    <w:rsid w:val="005503BC"/>
    <w:rsid w:val="0055219B"/>
    <w:rsid w:val="0055252D"/>
    <w:rsid w:val="005539D3"/>
    <w:rsid w:val="0055434F"/>
    <w:rsid w:val="00555B28"/>
    <w:rsid w:val="005563E3"/>
    <w:rsid w:val="005577EA"/>
    <w:rsid w:val="0056160F"/>
    <w:rsid w:val="005630B1"/>
    <w:rsid w:val="0056455B"/>
    <w:rsid w:val="00566DF0"/>
    <w:rsid w:val="0056748E"/>
    <w:rsid w:val="005701C1"/>
    <w:rsid w:val="00571189"/>
    <w:rsid w:val="005728A2"/>
    <w:rsid w:val="00573712"/>
    <w:rsid w:val="005745CA"/>
    <w:rsid w:val="00574ED2"/>
    <w:rsid w:val="00576463"/>
    <w:rsid w:val="0057682A"/>
    <w:rsid w:val="0057752A"/>
    <w:rsid w:val="00580E76"/>
    <w:rsid w:val="005813E8"/>
    <w:rsid w:val="00583329"/>
    <w:rsid w:val="00585C31"/>
    <w:rsid w:val="0058629C"/>
    <w:rsid w:val="00587D50"/>
    <w:rsid w:val="0059047E"/>
    <w:rsid w:val="00590680"/>
    <w:rsid w:val="00590FF6"/>
    <w:rsid w:val="00593045"/>
    <w:rsid w:val="0059365C"/>
    <w:rsid w:val="00593AE7"/>
    <w:rsid w:val="00594523"/>
    <w:rsid w:val="0059477D"/>
    <w:rsid w:val="00595FE0"/>
    <w:rsid w:val="005975DB"/>
    <w:rsid w:val="005A0375"/>
    <w:rsid w:val="005A0BAE"/>
    <w:rsid w:val="005A1234"/>
    <w:rsid w:val="005A15EF"/>
    <w:rsid w:val="005A1C15"/>
    <w:rsid w:val="005A2317"/>
    <w:rsid w:val="005A4324"/>
    <w:rsid w:val="005A66E3"/>
    <w:rsid w:val="005A6942"/>
    <w:rsid w:val="005A6F07"/>
    <w:rsid w:val="005A76C2"/>
    <w:rsid w:val="005B01FA"/>
    <w:rsid w:val="005B1F9E"/>
    <w:rsid w:val="005B33E9"/>
    <w:rsid w:val="005B348C"/>
    <w:rsid w:val="005B4D9C"/>
    <w:rsid w:val="005B522D"/>
    <w:rsid w:val="005B62F4"/>
    <w:rsid w:val="005B65C0"/>
    <w:rsid w:val="005B7093"/>
    <w:rsid w:val="005B79F2"/>
    <w:rsid w:val="005C04A8"/>
    <w:rsid w:val="005C06DF"/>
    <w:rsid w:val="005C18DB"/>
    <w:rsid w:val="005C1952"/>
    <w:rsid w:val="005C1FA2"/>
    <w:rsid w:val="005C20E0"/>
    <w:rsid w:val="005C4242"/>
    <w:rsid w:val="005C4341"/>
    <w:rsid w:val="005C5F85"/>
    <w:rsid w:val="005C643E"/>
    <w:rsid w:val="005C65CA"/>
    <w:rsid w:val="005C736A"/>
    <w:rsid w:val="005C7984"/>
    <w:rsid w:val="005C7BEA"/>
    <w:rsid w:val="005D29B2"/>
    <w:rsid w:val="005D2FCB"/>
    <w:rsid w:val="005D355D"/>
    <w:rsid w:val="005D35B0"/>
    <w:rsid w:val="005D3CAE"/>
    <w:rsid w:val="005D4776"/>
    <w:rsid w:val="005D5F19"/>
    <w:rsid w:val="005D67B7"/>
    <w:rsid w:val="005D7B1C"/>
    <w:rsid w:val="005E2294"/>
    <w:rsid w:val="005E4F41"/>
    <w:rsid w:val="005E63F3"/>
    <w:rsid w:val="005F0D4D"/>
    <w:rsid w:val="005F46FA"/>
    <w:rsid w:val="005F4CEC"/>
    <w:rsid w:val="005F4DFF"/>
    <w:rsid w:val="005F5F4F"/>
    <w:rsid w:val="005F6358"/>
    <w:rsid w:val="005F63DF"/>
    <w:rsid w:val="005F74B1"/>
    <w:rsid w:val="005F7823"/>
    <w:rsid w:val="0060009B"/>
    <w:rsid w:val="006003DE"/>
    <w:rsid w:val="00600A5C"/>
    <w:rsid w:val="006025EA"/>
    <w:rsid w:val="006026E7"/>
    <w:rsid w:val="00602AFB"/>
    <w:rsid w:val="00602E30"/>
    <w:rsid w:val="006049DB"/>
    <w:rsid w:val="00606774"/>
    <w:rsid w:val="00606DF3"/>
    <w:rsid w:val="006102DF"/>
    <w:rsid w:val="00610C41"/>
    <w:rsid w:val="00611A91"/>
    <w:rsid w:val="00611D11"/>
    <w:rsid w:val="00611EA9"/>
    <w:rsid w:val="0061232C"/>
    <w:rsid w:val="006123DB"/>
    <w:rsid w:val="006129ED"/>
    <w:rsid w:val="00614374"/>
    <w:rsid w:val="0061578A"/>
    <w:rsid w:val="00616EE6"/>
    <w:rsid w:val="00617DAA"/>
    <w:rsid w:val="00620093"/>
    <w:rsid w:val="0062037A"/>
    <w:rsid w:val="0062074A"/>
    <w:rsid w:val="006219C4"/>
    <w:rsid w:val="00622A4E"/>
    <w:rsid w:val="00624245"/>
    <w:rsid w:val="006256B7"/>
    <w:rsid w:val="00625E79"/>
    <w:rsid w:val="00627E40"/>
    <w:rsid w:val="00627EB1"/>
    <w:rsid w:val="0063066B"/>
    <w:rsid w:val="00631327"/>
    <w:rsid w:val="006324C3"/>
    <w:rsid w:val="00633326"/>
    <w:rsid w:val="00633568"/>
    <w:rsid w:val="00633DA8"/>
    <w:rsid w:val="00633EF3"/>
    <w:rsid w:val="00634B75"/>
    <w:rsid w:val="006352FE"/>
    <w:rsid w:val="00635AF9"/>
    <w:rsid w:val="006369C3"/>
    <w:rsid w:val="00640354"/>
    <w:rsid w:val="00641AB9"/>
    <w:rsid w:val="00641ACE"/>
    <w:rsid w:val="00642534"/>
    <w:rsid w:val="00642B08"/>
    <w:rsid w:val="00646D79"/>
    <w:rsid w:val="006475A7"/>
    <w:rsid w:val="006500C3"/>
    <w:rsid w:val="00651B33"/>
    <w:rsid w:val="00652C1A"/>
    <w:rsid w:val="00654D55"/>
    <w:rsid w:val="00655AE7"/>
    <w:rsid w:val="00655EE5"/>
    <w:rsid w:val="00656235"/>
    <w:rsid w:val="006608EE"/>
    <w:rsid w:val="0066150E"/>
    <w:rsid w:val="006618C6"/>
    <w:rsid w:val="00662E01"/>
    <w:rsid w:val="0066352D"/>
    <w:rsid w:val="006639FC"/>
    <w:rsid w:val="006649C4"/>
    <w:rsid w:val="0066680A"/>
    <w:rsid w:val="0066712C"/>
    <w:rsid w:val="00675B81"/>
    <w:rsid w:val="00676238"/>
    <w:rsid w:val="006763E8"/>
    <w:rsid w:val="00676ADB"/>
    <w:rsid w:val="00676B39"/>
    <w:rsid w:val="00676C59"/>
    <w:rsid w:val="006806BB"/>
    <w:rsid w:val="00680B9D"/>
    <w:rsid w:val="00680D43"/>
    <w:rsid w:val="00681005"/>
    <w:rsid w:val="00682137"/>
    <w:rsid w:val="00682D78"/>
    <w:rsid w:val="00683FC6"/>
    <w:rsid w:val="006861B9"/>
    <w:rsid w:val="006863D1"/>
    <w:rsid w:val="00687317"/>
    <w:rsid w:val="00687377"/>
    <w:rsid w:val="006908FF"/>
    <w:rsid w:val="00691F1D"/>
    <w:rsid w:val="0069214F"/>
    <w:rsid w:val="006922AA"/>
    <w:rsid w:val="006936AB"/>
    <w:rsid w:val="006936E6"/>
    <w:rsid w:val="0069459B"/>
    <w:rsid w:val="00697988"/>
    <w:rsid w:val="006A1073"/>
    <w:rsid w:val="006A15C6"/>
    <w:rsid w:val="006A3E74"/>
    <w:rsid w:val="006A4629"/>
    <w:rsid w:val="006A5267"/>
    <w:rsid w:val="006A5CD8"/>
    <w:rsid w:val="006A63C3"/>
    <w:rsid w:val="006A7ECA"/>
    <w:rsid w:val="006B036C"/>
    <w:rsid w:val="006B08B5"/>
    <w:rsid w:val="006B407B"/>
    <w:rsid w:val="006B6565"/>
    <w:rsid w:val="006B6F72"/>
    <w:rsid w:val="006B7A1F"/>
    <w:rsid w:val="006C12A2"/>
    <w:rsid w:val="006C12E9"/>
    <w:rsid w:val="006C257E"/>
    <w:rsid w:val="006C3130"/>
    <w:rsid w:val="006C39F8"/>
    <w:rsid w:val="006C3DD7"/>
    <w:rsid w:val="006C41C2"/>
    <w:rsid w:val="006C4408"/>
    <w:rsid w:val="006C481F"/>
    <w:rsid w:val="006C4FF4"/>
    <w:rsid w:val="006C51FF"/>
    <w:rsid w:val="006C780C"/>
    <w:rsid w:val="006D038B"/>
    <w:rsid w:val="006D1B70"/>
    <w:rsid w:val="006D1D9E"/>
    <w:rsid w:val="006D2261"/>
    <w:rsid w:val="006D3876"/>
    <w:rsid w:val="006D4BC5"/>
    <w:rsid w:val="006D4DE1"/>
    <w:rsid w:val="006D4E1A"/>
    <w:rsid w:val="006D6806"/>
    <w:rsid w:val="006D70BF"/>
    <w:rsid w:val="006E0C75"/>
    <w:rsid w:val="006E1555"/>
    <w:rsid w:val="006E1718"/>
    <w:rsid w:val="006E1835"/>
    <w:rsid w:val="006E2F2E"/>
    <w:rsid w:val="006E30FD"/>
    <w:rsid w:val="006E3ADA"/>
    <w:rsid w:val="006E460E"/>
    <w:rsid w:val="006E532F"/>
    <w:rsid w:val="006E63D5"/>
    <w:rsid w:val="006E72DD"/>
    <w:rsid w:val="006E74FB"/>
    <w:rsid w:val="006F08F0"/>
    <w:rsid w:val="006F1EFA"/>
    <w:rsid w:val="006F1FBE"/>
    <w:rsid w:val="006F2320"/>
    <w:rsid w:val="006F2E96"/>
    <w:rsid w:val="006F3019"/>
    <w:rsid w:val="006F3760"/>
    <w:rsid w:val="006F3810"/>
    <w:rsid w:val="006F5058"/>
    <w:rsid w:val="006F505E"/>
    <w:rsid w:val="006F7111"/>
    <w:rsid w:val="006F792C"/>
    <w:rsid w:val="006F7D71"/>
    <w:rsid w:val="0070000B"/>
    <w:rsid w:val="00701322"/>
    <w:rsid w:val="00702055"/>
    <w:rsid w:val="007035BC"/>
    <w:rsid w:val="00703E0A"/>
    <w:rsid w:val="00705DE1"/>
    <w:rsid w:val="00707DA0"/>
    <w:rsid w:val="007106B1"/>
    <w:rsid w:val="00710873"/>
    <w:rsid w:val="007132F7"/>
    <w:rsid w:val="007141FC"/>
    <w:rsid w:val="00714312"/>
    <w:rsid w:val="00714929"/>
    <w:rsid w:val="00714E62"/>
    <w:rsid w:val="00715B52"/>
    <w:rsid w:val="0071627B"/>
    <w:rsid w:val="00716352"/>
    <w:rsid w:val="00717D0E"/>
    <w:rsid w:val="00720C59"/>
    <w:rsid w:val="00721299"/>
    <w:rsid w:val="00722F2D"/>
    <w:rsid w:val="0072382A"/>
    <w:rsid w:val="007260F6"/>
    <w:rsid w:val="00730270"/>
    <w:rsid w:val="0073106E"/>
    <w:rsid w:val="007328F4"/>
    <w:rsid w:val="00732F99"/>
    <w:rsid w:val="0073325F"/>
    <w:rsid w:val="00735B7B"/>
    <w:rsid w:val="0073749B"/>
    <w:rsid w:val="0073782E"/>
    <w:rsid w:val="00737C59"/>
    <w:rsid w:val="00741F86"/>
    <w:rsid w:val="00743466"/>
    <w:rsid w:val="007440BD"/>
    <w:rsid w:val="00744C32"/>
    <w:rsid w:val="00745C3E"/>
    <w:rsid w:val="00746261"/>
    <w:rsid w:val="00746401"/>
    <w:rsid w:val="007501FB"/>
    <w:rsid w:val="00752BA6"/>
    <w:rsid w:val="007532F9"/>
    <w:rsid w:val="0075384F"/>
    <w:rsid w:val="00753F4A"/>
    <w:rsid w:val="00754264"/>
    <w:rsid w:val="007542DC"/>
    <w:rsid w:val="007551B3"/>
    <w:rsid w:val="0075624E"/>
    <w:rsid w:val="00756380"/>
    <w:rsid w:val="00756FA7"/>
    <w:rsid w:val="00757C66"/>
    <w:rsid w:val="00761AED"/>
    <w:rsid w:val="007624EE"/>
    <w:rsid w:val="0076361F"/>
    <w:rsid w:val="007646F8"/>
    <w:rsid w:val="00765771"/>
    <w:rsid w:val="00767340"/>
    <w:rsid w:val="007701D3"/>
    <w:rsid w:val="00770A0F"/>
    <w:rsid w:val="0077138A"/>
    <w:rsid w:val="00772C76"/>
    <w:rsid w:val="0077312A"/>
    <w:rsid w:val="007764EF"/>
    <w:rsid w:val="00777364"/>
    <w:rsid w:val="00777BAD"/>
    <w:rsid w:val="00780FF4"/>
    <w:rsid w:val="007815B3"/>
    <w:rsid w:val="00781BC2"/>
    <w:rsid w:val="00782BFF"/>
    <w:rsid w:val="00784CF9"/>
    <w:rsid w:val="00785265"/>
    <w:rsid w:val="00786297"/>
    <w:rsid w:val="0078694A"/>
    <w:rsid w:val="00786DC7"/>
    <w:rsid w:val="007919C6"/>
    <w:rsid w:val="007931EE"/>
    <w:rsid w:val="007939E9"/>
    <w:rsid w:val="00794FE4"/>
    <w:rsid w:val="007A0EA8"/>
    <w:rsid w:val="007A11D7"/>
    <w:rsid w:val="007A18C4"/>
    <w:rsid w:val="007A1D86"/>
    <w:rsid w:val="007A215A"/>
    <w:rsid w:val="007A35BF"/>
    <w:rsid w:val="007A4323"/>
    <w:rsid w:val="007A5E7F"/>
    <w:rsid w:val="007A62E5"/>
    <w:rsid w:val="007A644C"/>
    <w:rsid w:val="007A649F"/>
    <w:rsid w:val="007A7185"/>
    <w:rsid w:val="007A7B50"/>
    <w:rsid w:val="007B028A"/>
    <w:rsid w:val="007B19C8"/>
    <w:rsid w:val="007B38ED"/>
    <w:rsid w:val="007B3993"/>
    <w:rsid w:val="007B5664"/>
    <w:rsid w:val="007B6EFE"/>
    <w:rsid w:val="007C0961"/>
    <w:rsid w:val="007C152D"/>
    <w:rsid w:val="007C1B43"/>
    <w:rsid w:val="007C310A"/>
    <w:rsid w:val="007C4D78"/>
    <w:rsid w:val="007C6734"/>
    <w:rsid w:val="007C6EEF"/>
    <w:rsid w:val="007C78FB"/>
    <w:rsid w:val="007D3409"/>
    <w:rsid w:val="007D3654"/>
    <w:rsid w:val="007D370C"/>
    <w:rsid w:val="007D47F1"/>
    <w:rsid w:val="007D6195"/>
    <w:rsid w:val="007D6BA9"/>
    <w:rsid w:val="007D6BB0"/>
    <w:rsid w:val="007E20E3"/>
    <w:rsid w:val="007E3627"/>
    <w:rsid w:val="007E639E"/>
    <w:rsid w:val="007E6996"/>
    <w:rsid w:val="007E7CDF"/>
    <w:rsid w:val="007F039C"/>
    <w:rsid w:val="007F03AD"/>
    <w:rsid w:val="007F1F04"/>
    <w:rsid w:val="007F23F8"/>
    <w:rsid w:val="007F2518"/>
    <w:rsid w:val="007F33B3"/>
    <w:rsid w:val="007F3A2E"/>
    <w:rsid w:val="007F5A17"/>
    <w:rsid w:val="007F5A9B"/>
    <w:rsid w:val="007F668E"/>
    <w:rsid w:val="00800834"/>
    <w:rsid w:val="00801F4E"/>
    <w:rsid w:val="008032F9"/>
    <w:rsid w:val="00804020"/>
    <w:rsid w:val="00806761"/>
    <w:rsid w:val="008070AA"/>
    <w:rsid w:val="00807DB3"/>
    <w:rsid w:val="008104F4"/>
    <w:rsid w:val="008109DA"/>
    <w:rsid w:val="00810C85"/>
    <w:rsid w:val="0081174A"/>
    <w:rsid w:val="00812880"/>
    <w:rsid w:val="00812966"/>
    <w:rsid w:val="00812B92"/>
    <w:rsid w:val="008136F9"/>
    <w:rsid w:val="008141F7"/>
    <w:rsid w:val="0081438F"/>
    <w:rsid w:val="0081490F"/>
    <w:rsid w:val="00814C56"/>
    <w:rsid w:val="0081559A"/>
    <w:rsid w:val="00816517"/>
    <w:rsid w:val="00822A82"/>
    <w:rsid w:val="00822C08"/>
    <w:rsid w:val="00823506"/>
    <w:rsid w:val="008236F9"/>
    <w:rsid w:val="00823F1E"/>
    <w:rsid w:val="008251DC"/>
    <w:rsid w:val="0082682B"/>
    <w:rsid w:val="00830BFF"/>
    <w:rsid w:val="008329A2"/>
    <w:rsid w:val="00833ECD"/>
    <w:rsid w:val="00835D90"/>
    <w:rsid w:val="0083654B"/>
    <w:rsid w:val="0084006E"/>
    <w:rsid w:val="0084079A"/>
    <w:rsid w:val="008412A9"/>
    <w:rsid w:val="00841E2C"/>
    <w:rsid w:val="0084212E"/>
    <w:rsid w:val="00842D6A"/>
    <w:rsid w:val="00843A80"/>
    <w:rsid w:val="0084417A"/>
    <w:rsid w:val="00844182"/>
    <w:rsid w:val="00845644"/>
    <w:rsid w:val="00845EB6"/>
    <w:rsid w:val="00847BDC"/>
    <w:rsid w:val="0085146B"/>
    <w:rsid w:val="00851603"/>
    <w:rsid w:val="00851694"/>
    <w:rsid w:val="00852AEA"/>
    <w:rsid w:val="00853C9A"/>
    <w:rsid w:val="00860652"/>
    <w:rsid w:val="00861376"/>
    <w:rsid w:val="0086578C"/>
    <w:rsid w:val="00865883"/>
    <w:rsid w:val="00865AA1"/>
    <w:rsid w:val="00865FD7"/>
    <w:rsid w:val="0086702B"/>
    <w:rsid w:val="008700BD"/>
    <w:rsid w:val="00870352"/>
    <w:rsid w:val="00871302"/>
    <w:rsid w:val="008737FB"/>
    <w:rsid w:val="00873BD9"/>
    <w:rsid w:val="00873C68"/>
    <w:rsid w:val="00874B7A"/>
    <w:rsid w:val="00875BC7"/>
    <w:rsid w:val="00875FE3"/>
    <w:rsid w:val="008760B7"/>
    <w:rsid w:val="00876257"/>
    <w:rsid w:val="00876403"/>
    <w:rsid w:val="0087788E"/>
    <w:rsid w:val="00877AB0"/>
    <w:rsid w:val="00877F33"/>
    <w:rsid w:val="00877F84"/>
    <w:rsid w:val="00880C03"/>
    <w:rsid w:val="00881EB9"/>
    <w:rsid w:val="0088360F"/>
    <w:rsid w:val="00883C2F"/>
    <w:rsid w:val="00883C5C"/>
    <w:rsid w:val="008850A1"/>
    <w:rsid w:val="008861A2"/>
    <w:rsid w:val="008868CE"/>
    <w:rsid w:val="008873EB"/>
    <w:rsid w:val="00890089"/>
    <w:rsid w:val="00890544"/>
    <w:rsid w:val="008925AD"/>
    <w:rsid w:val="008934D8"/>
    <w:rsid w:val="0089375F"/>
    <w:rsid w:val="00896CEA"/>
    <w:rsid w:val="00897CBC"/>
    <w:rsid w:val="008A041F"/>
    <w:rsid w:val="008A14F5"/>
    <w:rsid w:val="008A21B7"/>
    <w:rsid w:val="008A2D5D"/>
    <w:rsid w:val="008A39DC"/>
    <w:rsid w:val="008A3A00"/>
    <w:rsid w:val="008A4047"/>
    <w:rsid w:val="008A5267"/>
    <w:rsid w:val="008A726A"/>
    <w:rsid w:val="008A765F"/>
    <w:rsid w:val="008B1654"/>
    <w:rsid w:val="008B203A"/>
    <w:rsid w:val="008B3745"/>
    <w:rsid w:val="008B56E2"/>
    <w:rsid w:val="008B6820"/>
    <w:rsid w:val="008B7CC5"/>
    <w:rsid w:val="008C30DB"/>
    <w:rsid w:val="008C36D7"/>
    <w:rsid w:val="008C3F25"/>
    <w:rsid w:val="008C45EA"/>
    <w:rsid w:val="008C4C34"/>
    <w:rsid w:val="008C4C5B"/>
    <w:rsid w:val="008C52DC"/>
    <w:rsid w:val="008C66B4"/>
    <w:rsid w:val="008C6BD2"/>
    <w:rsid w:val="008D0466"/>
    <w:rsid w:val="008D12A6"/>
    <w:rsid w:val="008D1DA2"/>
    <w:rsid w:val="008D3EB4"/>
    <w:rsid w:val="008D7374"/>
    <w:rsid w:val="008D7E4C"/>
    <w:rsid w:val="008E0271"/>
    <w:rsid w:val="008E031E"/>
    <w:rsid w:val="008E04A2"/>
    <w:rsid w:val="008E0CE4"/>
    <w:rsid w:val="008E21A8"/>
    <w:rsid w:val="008E39EF"/>
    <w:rsid w:val="008E3D0C"/>
    <w:rsid w:val="008E69FA"/>
    <w:rsid w:val="008E7770"/>
    <w:rsid w:val="008E7FC8"/>
    <w:rsid w:val="008F11BA"/>
    <w:rsid w:val="008F35E8"/>
    <w:rsid w:val="008F3FC3"/>
    <w:rsid w:val="008F49EF"/>
    <w:rsid w:val="008F5990"/>
    <w:rsid w:val="008F5BD3"/>
    <w:rsid w:val="008F6A6D"/>
    <w:rsid w:val="008F6BC0"/>
    <w:rsid w:val="008F70DF"/>
    <w:rsid w:val="00902220"/>
    <w:rsid w:val="00902B58"/>
    <w:rsid w:val="009034FD"/>
    <w:rsid w:val="009035EF"/>
    <w:rsid w:val="00903E4E"/>
    <w:rsid w:val="00903EA3"/>
    <w:rsid w:val="009041C0"/>
    <w:rsid w:val="00904B28"/>
    <w:rsid w:val="00910258"/>
    <w:rsid w:val="00910C8D"/>
    <w:rsid w:val="00913B10"/>
    <w:rsid w:val="00915885"/>
    <w:rsid w:val="0091642C"/>
    <w:rsid w:val="00916A81"/>
    <w:rsid w:val="00921782"/>
    <w:rsid w:val="0092199D"/>
    <w:rsid w:val="0092221D"/>
    <w:rsid w:val="00923DFF"/>
    <w:rsid w:val="00923F99"/>
    <w:rsid w:val="0092418D"/>
    <w:rsid w:val="00926C7C"/>
    <w:rsid w:val="00927252"/>
    <w:rsid w:val="00927CD1"/>
    <w:rsid w:val="00930E95"/>
    <w:rsid w:val="009315E2"/>
    <w:rsid w:val="0093243E"/>
    <w:rsid w:val="009346B6"/>
    <w:rsid w:val="0093484C"/>
    <w:rsid w:val="0093518C"/>
    <w:rsid w:val="009362AD"/>
    <w:rsid w:val="0093639C"/>
    <w:rsid w:val="009366E3"/>
    <w:rsid w:val="00937B6C"/>
    <w:rsid w:val="00937CBB"/>
    <w:rsid w:val="00937D52"/>
    <w:rsid w:val="0094360B"/>
    <w:rsid w:val="0094386B"/>
    <w:rsid w:val="00943C0D"/>
    <w:rsid w:val="00943F69"/>
    <w:rsid w:val="00944969"/>
    <w:rsid w:val="0094509D"/>
    <w:rsid w:val="00945475"/>
    <w:rsid w:val="00945D9D"/>
    <w:rsid w:val="0094676D"/>
    <w:rsid w:val="00946D3F"/>
    <w:rsid w:val="009506DD"/>
    <w:rsid w:val="00950F82"/>
    <w:rsid w:val="00951118"/>
    <w:rsid w:val="0095274F"/>
    <w:rsid w:val="0095338D"/>
    <w:rsid w:val="00953CBB"/>
    <w:rsid w:val="00953F19"/>
    <w:rsid w:val="00954251"/>
    <w:rsid w:val="009547B6"/>
    <w:rsid w:val="0095492E"/>
    <w:rsid w:val="00955B2D"/>
    <w:rsid w:val="00956456"/>
    <w:rsid w:val="009564E6"/>
    <w:rsid w:val="00956630"/>
    <w:rsid w:val="00956855"/>
    <w:rsid w:val="0095733B"/>
    <w:rsid w:val="00960263"/>
    <w:rsid w:val="00960844"/>
    <w:rsid w:val="009608A5"/>
    <w:rsid w:val="00960C34"/>
    <w:rsid w:val="009615D0"/>
    <w:rsid w:val="00961DF1"/>
    <w:rsid w:val="00962634"/>
    <w:rsid w:val="00962720"/>
    <w:rsid w:val="00962FFA"/>
    <w:rsid w:val="00963A86"/>
    <w:rsid w:val="00963D2A"/>
    <w:rsid w:val="0096474D"/>
    <w:rsid w:val="00964B24"/>
    <w:rsid w:val="00965DC5"/>
    <w:rsid w:val="00965EAC"/>
    <w:rsid w:val="00966314"/>
    <w:rsid w:val="00966798"/>
    <w:rsid w:val="009667F6"/>
    <w:rsid w:val="00966930"/>
    <w:rsid w:val="009670A6"/>
    <w:rsid w:val="009708B5"/>
    <w:rsid w:val="009715FE"/>
    <w:rsid w:val="00971E41"/>
    <w:rsid w:val="009723D2"/>
    <w:rsid w:val="00972842"/>
    <w:rsid w:val="009742DE"/>
    <w:rsid w:val="0097612F"/>
    <w:rsid w:val="00981093"/>
    <w:rsid w:val="00983E83"/>
    <w:rsid w:val="0098582B"/>
    <w:rsid w:val="00986583"/>
    <w:rsid w:val="00986C34"/>
    <w:rsid w:val="00987068"/>
    <w:rsid w:val="0098755E"/>
    <w:rsid w:val="0098785D"/>
    <w:rsid w:val="00987CF2"/>
    <w:rsid w:val="00990262"/>
    <w:rsid w:val="00990D67"/>
    <w:rsid w:val="00990E14"/>
    <w:rsid w:val="009921B3"/>
    <w:rsid w:val="00992AF4"/>
    <w:rsid w:val="00992FF5"/>
    <w:rsid w:val="00993B00"/>
    <w:rsid w:val="00993C7C"/>
    <w:rsid w:val="009948A3"/>
    <w:rsid w:val="009948A4"/>
    <w:rsid w:val="009958AC"/>
    <w:rsid w:val="00995BCF"/>
    <w:rsid w:val="009967C4"/>
    <w:rsid w:val="0099753B"/>
    <w:rsid w:val="009979A2"/>
    <w:rsid w:val="009A1048"/>
    <w:rsid w:val="009A129B"/>
    <w:rsid w:val="009A1891"/>
    <w:rsid w:val="009A27E7"/>
    <w:rsid w:val="009A2A51"/>
    <w:rsid w:val="009A329A"/>
    <w:rsid w:val="009A4C0A"/>
    <w:rsid w:val="009A5BAE"/>
    <w:rsid w:val="009B0FBE"/>
    <w:rsid w:val="009B2012"/>
    <w:rsid w:val="009B2361"/>
    <w:rsid w:val="009B2543"/>
    <w:rsid w:val="009B2930"/>
    <w:rsid w:val="009B2AFE"/>
    <w:rsid w:val="009B3124"/>
    <w:rsid w:val="009B3478"/>
    <w:rsid w:val="009B362A"/>
    <w:rsid w:val="009B4018"/>
    <w:rsid w:val="009B51E8"/>
    <w:rsid w:val="009B5B68"/>
    <w:rsid w:val="009C01F9"/>
    <w:rsid w:val="009C2AA9"/>
    <w:rsid w:val="009C345D"/>
    <w:rsid w:val="009C39C0"/>
    <w:rsid w:val="009C6451"/>
    <w:rsid w:val="009C6DC2"/>
    <w:rsid w:val="009C6DF7"/>
    <w:rsid w:val="009C717A"/>
    <w:rsid w:val="009D123F"/>
    <w:rsid w:val="009D2260"/>
    <w:rsid w:val="009D25FD"/>
    <w:rsid w:val="009D30AD"/>
    <w:rsid w:val="009D3232"/>
    <w:rsid w:val="009D5463"/>
    <w:rsid w:val="009D611B"/>
    <w:rsid w:val="009D627D"/>
    <w:rsid w:val="009D6F55"/>
    <w:rsid w:val="009E1BBB"/>
    <w:rsid w:val="009E3422"/>
    <w:rsid w:val="009E3938"/>
    <w:rsid w:val="009E3AB4"/>
    <w:rsid w:val="009E4514"/>
    <w:rsid w:val="009E6A93"/>
    <w:rsid w:val="009E734C"/>
    <w:rsid w:val="009E7B11"/>
    <w:rsid w:val="009F0288"/>
    <w:rsid w:val="009F1F8B"/>
    <w:rsid w:val="009F1FE9"/>
    <w:rsid w:val="009F2CE2"/>
    <w:rsid w:val="009F3865"/>
    <w:rsid w:val="009F3F54"/>
    <w:rsid w:val="009F4A6C"/>
    <w:rsid w:val="009F4B25"/>
    <w:rsid w:val="009F5056"/>
    <w:rsid w:val="009F5253"/>
    <w:rsid w:val="009F5EE1"/>
    <w:rsid w:val="009F6100"/>
    <w:rsid w:val="009F6B11"/>
    <w:rsid w:val="009F6EF2"/>
    <w:rsid w:val="009F7AA5"/>
    <w:rsid w:val="00A01D27"/>
    <w:rsid w:val="00A023D5"/>
    <w:rsid w:val="00A0256C"/>
    <w:rsid w:val="00A03302"/>
    <w:rsid w:val="00A0479C"/>
    <w:rsid w:val="00A052D4"/>
    <w:rsid w:val="00A06908"/>
    <w:rsid w:val="00A06AA8"/>
    <w:rsid w:val="00A07E8E"/>
    <w:rsid w:val="00A108B0"/>
    <w:rsid w:val="00A10EE0"/>
    <w:rsid w:val="00A13053"/>
    <w:rsid w:val="00A146BE"/>
    <w:rsid w:val="00A1552C"/>
    <w:rsid w:val="00A15630"/>
    <w:rsid w:val="00A22D0F"/>
    <w:rsid w:val="00A2301C"/>
    <w:rsid w:val="00A234F6"/>
    <w:rsid w:val="00A24268"/>
    <w:rsid w:val="00A272D0"/>
    <w:rsid w:val="00A33772"/>
    <w:rsid w:val="00A3389F"/>
    <w:rsid w:val="00A33D4D"/>
    <w:rsid w:val="00A34D8E"/>
    <w:rsid w:val="00A35213"/>
    <w:rsid w:val="00A35A54"/>
    <w:rsid w:val="00A3682D"/>
    <w:rsid w:val="00A40D7F"/>
    <w:rsid w:val="00A41663"/>
    <w:rsid w:val="00A42FDA"/>
    <w:rsid w:val="00A433D5"/>
    <w:rsid w:val="00A43F08"/>
    <w:rsid w:val="00A44B5E"/>
    <w:rsid w:val="00A455F6"/>
    <w:rsid w:val="00A45A94"/>
    <w:rsid w:val="00A45ADB"/>
    <w:rsid w:val="00A47C5C"/>
    <w:rsid w:val="00A51F88"/>
    <w:rsid w:val="00A52557"/>
    <w:rsid w:val="00A5335B"/>
    <w:rsid w:val="00A57C9B"/>
    <w:rsid w:val="00A600D6"/>
    <w:rsid w:val="00A615CA"/>
    <w:rsid w:val="00A61E19"/>
    <w:rsid w:val="00A63889"/>
    <w:rsid w:val="00A6534A"/>
    <w:rsid w:val="00A66044"/>
    <w:rsid w:val="00A700DE"/>
    <w:rsid w:val="00A705F6"/>
    <w:rsid w:val="00A70DCF"/>
    <w:rsid w:val="00A70F73"/>
    <w:rsid w:val="00A71BFE"/>
    <w:rsid w:val="00A71CA8"/>
    <w:rsid w:val="00A72AFE"/>
    <w:rsid w:val="00A74A58"/>
    <w:rsid w:val="00A77A66"/>
    <w:rsid w:val="00A80D5B"/>
    <w:rsid w:val="00A811D8"/>
    <w:rsid w:val="00A926C0"/>
    <w:rsid w:val="00A930FF"/>
    <w:rsid w:val="00A95615"/>
    <w:rsid w:val="00A9569C"/>
    <w:rsid w:val="00A979B7"/>
    <w:rsid w:val="00AA14FB"/>
    <w:rsid w:val="00AA23AC"/>
    <w:rsid w:val="00AA2AA5"/>
    <w:rsid w:val="00AA3291"/>
    <w:rsid w:val="00AA39CB"/>
    <w:rsid w:val="00AA42F8"/>
    <w:rsid w:val="00AA506F"/>
    <w:rsid w:val="00AA561E"/>
    <w:rsid w:val="00AA580D"/>
    <w:rsid w:val="00AA688D"/>
    <w:rsid w:val="00AA6FE5"/>
    <w:rsid w:val="00AA73F4"/>
    <w:rsid w:val="00AA7C8F"/>
    <w:rsid w:val="00AB0589"/>
    <w:rsid w:val="00AB17E3"/>
    <w:rsid w:val="00AB3BCC"/>
    <w:rsid w:val="00AB406B"/>
    <w:rsid w:val="00AB7C78"/>
    <w:rsid w:val="00AB7E8C"/>
    <w:rsid w:val="00AC194C"/>
    <w:rsid w:val="00AC19D4"/>
    <w:rsid w:val="00AC1B33"/>
    <w:rsid w:val="00AC357B"/>
    <w:rsid w:val="00AC4628"/>
    <w:rsid w:val="00AC4793"/>
    <w:rsid w:val="00AC6660"/>
    <w:rsid w:val="00AC72D9"/>
    <w:rsid w:val="00AC7CC3"/>
    <w:rsid w:val="00AD069A"/>
    <w:rsid w:val="00AD08DA"/>
    <w:rsid w:val="00AD0EDA"/>
    <w:rsid w:val="00AD1309"/>
    <w:rsid w:val="00AD2473"/>
    <w:rsid w:val="00AD265E"/>
    <w:rsid w:val="00AD30D0"/>
    <w:rsid w:val="00AD376C"/>
    <w:rsid w:val="00AD7625"/>
    <w:rsid w:val="00AE2430"/>
    <w:rsid w:val="00AE2A5B"/>
    <w:rsid w:val="00AE3A1E"/>
    <w:rsid w:val="00AE3B12"/>
    <w:rsid w:val="00AE58F2"/>
    <w:rsid w:val="00AE5B0F"/>
    <w:rsid w:val="00AE5B27"/>
    <w:rsid w:val="00AE6F54"/>
    <w:rsid w:val="00AE7016"/>
    <w:rsid w:val="00AE716E"/>
    <w:rsid w:val="00AE74E7"/>
    <w:rsid w:val="00AE7FDC"/>
    <w:rsid w:val="00AF2F8B"/>
    <w:rsid w:val="00AF3C7B"/>
    <w:rsid w:val="00AF3E5C"/>
    <w:rsid w:val="00AF4B1B"/>
    <w:rsid w:val="00AF4DC7"/>
    <w:rsid w:val="00AF4F8A"/>
    <w:rsid w:val="00AF5902"/>
    <w:rsid w:val="00AF5B09"/>
    <w:rsid w:val="00AF69A8"/>
    <w:rsid w:val="00AF7478"/>
    <w:rsid w:val="00AF7CD3"/>
    <w:rsid w:val="00B006DD"/>
    <w:rsid w:val="00B0145A"/>
    <w:rsid w:val="00B03FEF"/>
    <w:rsid w:val="00B05484"/>
    <w:rsid w:val="00B05AC5"/>
    <w:rsid w:val="00B0605D"/>
    <w:rsid w:val="00B07471"/>
    <w:rsid w:val="00B1182A"/>
    <w:rsid w:val="00B1199F"/>
    <w:rsid w:val="00B11BF2"/>
    <w:rsid w:val="00B12C50"/>
    <w:rsid w:val="00B13300"/>
    <w:rsid w:val="00B16346"/>
    <w:rsid w:val="00B169DF"/>
    <w:rsid w:val="00B16AC3"/>
    <w:rsid w:val="00B17C00"/>
    <w:rsid w:val="00B17F6E"/>
    <w:rsid w:val="00B20570"/>
    <w:rsid w:val="00B2234A"/>
    <w:rsid w:val="00B234D8"/>
    <w:rsid w:val="00B26DA4"/>
    <w:rsid w:val="00B27AFE"/>
    <w:rsid w:val="00B27C97"/>
    <w:rsid w:val="00B302C1"/>
    <w:rsid w:val="00B30C79"/>
    <w:rsid w:val="00B322E2"/>
    <w:rsid w:val="00B33B94"/>
    <w:rsid w:val="00B34A13"/>
    <w:rsid w:val="00B34E80"/>
    <w:rsid w:val="00B3605A"/>
    <w:rsid w:val="00B362EF"/>
    <w:rsid w:val="00B36C79"/>
    <w:rsid w:val="00B36F5D"/>
    <w:rsid w:val="00B372E0"/>
    <w:rsid w:val="00B40842"/>
    <w:rsid w:val="00B430F4"/>
    <w:rsid w:val="00B43367"/>
    <w:rsid w:val="00B434E4"/>
    <w:rsid w:val="00B43F40"/>
    <w:rsid w:val="00B44130"/>
    <w:rsid w:val="00B4604F"/>
    <w:rsid w:val="00B47FE8"/>
    <w:rsid w:val="00B50DE6"/>
    <w:rsid w:val="00B51233"/>
    <w:rsid w:val="00B53280"/>
    <w:rsid w:val="00B54C0E"/>
    <w:rsid w:val="00B54D0A"/>
    <w:rsid w:val="00B55940"/>
    <w:rsid w:val="00B57A97"/>
    <w:rsid w:val="00B62ACA"/>
    <w:rsid w:val="00B62C5D"/>
    <w:rsid w:val="00B63225"/>
    <w:rsid w:val="00B63E58"/>
    <w:rsid w:val="00B63EDD"/>
    <w:rsid w:val="00B648F8"/>
    <w:rsid w:val="00B64AF2"/>
    <w:rsid w:val="00B66555"/>
    <w:rsid w:val="00B708D7"/>
    <w:rsid w:val="00B70BAB"/>
    <w:rsid w:val="00B7224A"/>
    <w:rsid w:val="00B72E5A"/>
    <w:rsid w:val="00B73677"/>
    <w:rsid w:val="00B7370E"/>
    <w:rsid w:val="00B74CE9"/>
    <w:rsid w:val="00B752FD"/>
    <w:rsid w:val="00B75662"/>
    <w:rsid w:val="00B75AD2"/>
    <w:rsid w:val="00B75FC9"/>
    <w:rsid w:val="00B7600A"/>
    <w:rsid w:val="00B76F92"/>
    <w:rsid w:val="00B82795"/>
    <w:rsid w:val="00B82CA5"/>
    <w:rsid w:val="00B84E34"/>
    <w:rsid w:val="00B8558C"/>
    <w:rsid w:val="00B86BC5"/>
    <w:rsid w:val="00B87B44"/>
    <w:rsid w:val="00B87E23"/>
    <w:rsid w:val="00B939A3"/>
    <w:rsid w:val="00B94F83"/>
    <w:rsid w:val="00B96B55"/>
    <w:rsid w:val="00BA0987"/>
    <w:rsid w:val="00BA1AC0"/>
    <w:rsid w:val="00BA2013"/>
    <w:rsid w:val="00BA3191"/>
    <w:rsid w:val="00BA39F1"/>
    <w:rsid w:val="00BA483B"/>
    <w:rsid w:val="00BA6510"/>
    <w:rsid w:val="00BB300F"/>
    <w:rsid w:val="00BB31E2"/>
    <w:rsid w:val="00BB326C"/>
    <w:rsid w:val="00BB4685"/>
    <w:rsid w:val="00BB53FB"/>
    <w:rsid w:val="00BB67CA"/>
    <w:rsid w:val="00BB7318"/>
    <w:rsid w:val="00BB780A"/>
    <w:rsid w:val="00BC1DFA"/>
    <w:rsid w:val="00BC32CC"/>
    <w:rsid w:val="00BC3C03"/>
    <w:rsid w:val="00BC41A8"/>
    <w:rsid w:val="00BC4585"/>
    <w:rsid w:val="00BC583E"/>
    <w:rsid w:val="00BC5CF3"/>
    <w:rsid w:val="00BC6F0A"/>
    <w:rsid w:val="00BD166A"/>
    <w:rsid w:val="00BD28D0"/>
    <w:rsid w:val="00BD2E69"/>
    <w:rsid w:val="00BD3A51"/>
    <w:rsid w:val="00BD4447"/>
    <w:rsid w:val="00BD6269"/>
    <w:rsid w:val="00BD6EE2"/>
    <w:rsid w:val="00BD6EF4"/>
    <w:rsid w:val="00BE0A6E"/>
    <w:rsid w:val="00BE3E35"/>
    <w:rsid w:val="00BE3E80"/>
    <w:rsid w:val="00BE43BA"/>
    <w:rsid w:val="00BE4626"/>
    <w:rsid w:val="00BE74AA"/>
    <w:rsid w:val="00BE77B3"/>
    <w:rsid w:val="00BF0176"/>
    <w:rsid w:val="00BF0583"/>
    <w:rsid w:val="00BF22A5"/>
    <w:rsid w:val="00BF2655"/>
    <w:rsid w:val="00BF4F31"/>
    <w:rsid w:val="00BF5E0C"/>
    <w:rsid w:val="00BF65CF"/>
    <w:rsid w:val="00BF6AED"/>
    <w:rsid w:val="00BF789A"/>
    <w:rsid w:val="00C00ADD"/>
    <w:rsid w:val="00C02B58"/>
    <w:rsid w:val="00C03899"/>
    <w:rsid w:val="00C03D9A"/>
    <w:rsid w:val="00C03F97"/>
    <w:rsid w:val="00C04FA8"/>
    <w:rsid w:val="00C05AC2"/>
    <w:rsid w:val="00C103D5"/>
    <w:rsid w:val="00C10472"/>
    <w:rsid w:val="00C10C66"/>
    <w:rsid w:val="00C11480"/>
    <w:rsid w:val="00C1199D"/>
    <w:rsid w:val="00C11E12"/>
    <w:rsid w:val="00C11ED5"/>
    <w:rsid w:val="00C12101"/>
    <w:rsid w:val="00C12254"/>
    <w:rsid w:val="00C13062"/>
    <w:rsid w:val="00C13C21"/>
    <w:rsid w:val="00C15754"/>
    <w:rsid w:val="00C16284"/>
    <w:rsid w:val="00C17AED"/>
    <w:rsid w:val="00C200AD"/>
    <w:rsid w:val="00C20399"/>
    <w:rsid w:val="00C2100B"/>
    <w:rsid w:val="00C21519"/>
    <w:rsid w:val="00C23700"/>
    <w:rsid w:val="00C24A32"/>
    <w:rsid w:val="00C25229"/>
    <w:rsid w:val="00C2523B"/>
    <w:rsid w:val="00C25E39"/>
    <w:rsid w:val="00C26C2D"/>
    <w:rsid w:val="00C26D43"/>
    <w:rsid w:val="00C2782C"/>
    <w:rsid w:val="00C27C2D"/>
    <w:rsid w:val="00C312A0"/>
    <w:rsid w:val="00C33275"/>
    <w:rsid w:val="00C33A89"/>
    <w:rsid w:val="00C34C2C"/>
    <w:rsid w:val="00C34EEC"/>
    <w:rsid w:val="00C3536B"/>
    <w:rsid w:val="00C35D74"/>
    <w:rsid w:val="00C362B6"/>
    <w:rsid w:val="00C37C56"/>
    <w:rsid w:val="00C40535"/>
    <w:rsid w:val="00C41D98"/>
    <w:rsid w:val="00C4208E"/>
    <w:rsid w:val="00C4357E"/>
    <w:rsid w:val="00C43A68"/>
    <w:rsid w:val="00C458C8"/>
    <w:rsid w:val="00C461D9"/>
    <w:rsid w:val="00C4620C"/>
    <w:rsid w:val="00C463C1"/>
    <w:rsid w:val="00C473DA"/>
    <w:rsid w:val="00C503D1"/>
    <w:rsid w:val="00C50BF3"/>
    <w:rsid w:val="00C50C19"/>
    <w:rsid w:val="00C53ECA"/>
    <w:rsid w:val="00C53F55"/>
    <w:rsid w:val="00C53FB0"/>
    <w:rsid w:val="00C54179"/>
    <w:rsid w:val="00C55AA3"/>
    <w:rsid w:val="00C5609B"/>
    <w:rsid w:val="00C56DEA"/>
    <w:rsid w:val="00C57EF8"/>
    <w:rsid w:val="00C61180"/>
    <w:rsid w:val="00C61489"/>
    <w:rsid w:val="00C62E54"/>
    <w:rsid w:val="00C64ACA"/>
    <w:rsid w:val="00C6515C"/>
    <w:rsid w:val="00C65A6C"/>
    <w:rsid w:val="00C72E44"/>
    <w:rsid w:val="00C731AF"/>
    <w:rsid w:val="00C749E6"/>
    <w:rsid w:val="00C74CAB"/>
    <w:rsid w:val="00C817A6"/>
    <w:rsid w:val="00C81F94"/>
    <w:rsid w:val="00C83E82"/>
    <w:rsid w:val="00C84511"/>
    <w:rsid w:val="00C84ED2"/>
    <w:rsid w:val="00C8519C"/>
    <w:rsid w:val="00C859DF"/>
    <w:rsid w:val="00C85BBE"/>
    <w:rsid w:val="00C85C97"/>
    <w:rsid w:val="00C865E4"/>
    <w:rsid w:val="00C873E1"/>
    <w:rsid w:val="00C909DA"/>
    <w:rsid w:val="00C912D1"/>
    <w:rsid w:val="00C92ABB"/>
    <w:rsid w:val="00C94229"/>
    <w:rsid w:val="00C958F9"/>
    <w:rsid w:val="00C95B55"/>
    <w:rsid w:val="00CA14FA"/>
    <w:rsid w:val="00CA1E38"/>
    <w:rsid w:val="00CA22BA"/>
    <w:rsid w:val="00CA2B29"/>
    <w:rsid w:val="00CA375B"/>
    <w:rsid w:val="00CA3B04"/>
    <w:rsid w:val="00CA3FC0"/>
    <w:rsid w:val="00CA500B"/>
    <w:rsid w:val="00CA5E8E"/>
    <w:rsid w:val="00CA6386"/>
    <w:rsid w:val="00CA668E"/>
    <w:rsid w:val="00CB0DE6"/>
    <w:rsid w:val="00CB15E6"/>
    <w:rsid w:val="00CB2C58"/>
    <w:rsid w:val="00CB391A"/>
    <w:rsid w:val="00CB406E"/>
    <w:rsid w:val="00CB40B4"/>
    <w:rsid w:val="00CB495B"/>
    <w:rsid w:val="00CB56BC"/>
    <w:rsid w:val="00CB782E"/>
    <w:rsid w:val="00CB7C47"/>
    <w:rsid w:val="00CC0B6B"/>
    <w:rsid w:val="00CC0E79"/>
    <w:rsid w:val="00CC2383"/>
    <w:rsid w:val="00CC248E"/>
    <w:rsid w:val="00CC3761"/>
    <w:rsid w:val="00CC3BC4"/>
    <w:rsid w:val="00CC4B02"/>
    <w:rsid w:val="00CC4CFA"/>
    <w:rsid w:val="00CC4F3F"/>
    <w:rsid w:val="00CC4F8C"/>
    <w:rsid w:val="00CC5F9E"/>
    <w:rsid w:val="00CC64D7"/>
    <w:rsid w:val="00CC7BC1"/>
    <w:rsid w:val="00CD0914"/>
    <w:rsid w:val="00CD14CB"/>
    <w:rsid w:val="00CD1D1A"/>
    <w:rsid w:val="00CD2B20"/>
    <w:rsid w:val="00CD4649"/>
    <w:rsid w:val="00CD4CD5"/>
    <w:rsid w:val="00CD4CDB"/>
    <w:rsid w:val="00CD4FB3"/>
    <w:rsid w:val="00CD61FB"/>
    <w:rsid w:val="00CD7CE1"/>
    <w:rsid w:val="00CE17F6"/>
    <w:rsid w:val="00CE313A"/>
    <w:rsid w:val="00CE45CA"/>
    <w:rsid w:val="00CE487E"/>
    <w:rsid w:val="00CE54E8"/>
    <w:rsid w:val="00CE5CF1"/>
    <w:rsid w:val="00CE61BC"/>
    <w:rsid w:val="00CE7F34"/>
    <w:rsid w:val="00CF128D"/>
    <w:rsid w:val="00CF48B4"/>
    <w:rsid w:val="00CF49FD"/>
    <w:rsid w:val="00CF50DA"/>
    <w:rsid w:val="00CF7A3A"/>
    <w:rsid w:val="00CF7CE7"/>
    <w:rsid w:val="00CF7F69"/>
    <w:rsid w:val="00D00EF7"/>
    <w:rsid w:val="00D0153D"/>
    <w:rsid w:val="00D02119"/>
    <w:rsid w:val="00D0282B"/>
    <w:rsid w:val="00D02984"/>
    <w:rsid w:val="00D02C5C"/>
    <w:rsid w:val="00D02F1F"/>
    <w:rsid w:val="00D03A88"/>
    <w:rsid w:val="00D04D05"/>
    <w:rsid w:val="00D0573C"/>
    <w:rsid w:val="00D05FCA"/>
    <w:rsid w:val="00D06367"/>
    <w:rsid w:val="00D10295"/>
    <w:rsid w:val="00D105A7"/>
    <w:rsid w:val="00D11539"/>
    <w:rsid w:val="00D11B31"/>
    <w:rsid w:val="00D13669"/>
    <w:rsid w:val="00D1383B"/>
    <w:rsid w:val="00D14066"/>
    <w:rsid w:val="00D1515E"/>
    <w:rsid w:val="00D16BF6"/>
    <w:rsid w:val="00D1708C"/>
    <w:rsid w:val="00D202C3"/>
    <w:rsid w:val="00D21602"/>
    <w:rsid w:val="00D21617"/>
    <w:rsid w:val="00D22847"/>
    <w:rsid w:val="00D2291A"/>
    <w:rsid w:val="00D26CF4"/>
    <w:rsid w:val="00D27F94"/>
    <w:rsid w:val="00D3067D"/>
    <w:rsid w:val="00D32526"/>
    <w:rsid w:val="00D331DB"/>
    <w:rsid w:val="00D33597"/>
    <w:rsid w:val="00D33DCC"/>
    <w:rsid w:val="00D3456A"/>
    <w:rsid w:val="00D34AA9"/>
    <w:rsid w:val="00D35CB8"/>
    <w:rsid w:val="00D37440"/>
    <w:rsid w:val="00D41BAC"/>
    <w:rsid w:val="00D44F1B"/>
    <w:rsid w:val="00D45E86"/>
    <w:rsid w:val="00D47209"/>
    <w:rsid w:val="00D47881"/>
    <w:rsid w:val="00D47F27"/>
    <w:rsid w:val="00D5168D"/>
    <w:rsid w:val="00D5180E"/>
    <w:rsid w:val="00D5214C"/>
    <w:rsid w:val="00D52ED5"/>
    <w:rsid w:val="00D53C90"/>
    <w:rsid w:val="00D541F7"/>
    <w:rsid w:val="00D556DA"/>
    <w:rsid w:val="00D563B5"/>
    <w:rsid w:val="00D57D94"/>
    <w:rsid w:val="00D62682"/>
    <w:rsid w:val="00D62813"/>
    <w:rsid w:val="00D65A24"/>
    <w:rsid w:val="00D70F32"/>
    <w:rsid w:val="00D70FA7"/>
    <w:rsid w:val="00D735C5"/>
    <w:rsid w:val="00D740D8"/>
    <w:rsid w:val="00D742AC"/>
    <w:rsid w:val="00D74FA1"/>
    <w:rsid w:val="00D7553C"/>
    <w:rsid w:val="00D76720"/>
    <w:rsid w:val="00D8054F"/>
    <w:rsid w:val="00D806F9"/>
    <w:rsid w:val="00D80ADA"/>
    <w:rsid w:val="00D80D5C"/>
    <w:rsid w:val="00D81F86"/>
    <w:rsid w:val="00D82D82"/>
    <w:rsid w:val="00D83B4F"/>
    <w:rsid w:val="00D8442F"/>
    <w:rsid w:val="00D85EAC"/>
    <w:rsid w:val="00D86ADF"/>
    <w:rsid w:val="00D9039E"/>
    <w:rsid w:val="00D90653"/>
    <w:rsid w:val="00D90790"/>
    <w:rsid w:val="00D90BF5"/>
    <w:rsid w:val="00D9224A"/>
    <w:rsid w:val="00D951F9"/>
    <w:rsid w:val="00D9549E"/>
    <w:rsid w:val="00D96022"/>
    <w:rsid w:val="00D96A6E"/>
    <w:rsid w:val="00D97CA7"/>
    <w:rsid w:val="00DA0A58"/>
    <w:rsid w:val="00DA3383"/>
    <w:rsid w:val="00DA3FC4"/>
    <w:rsid w:val="00DA5C5A"/>
    <w:rsid w:val="00DB023E"/>
    <w:rsid w:val="00DB1818"/>
    <w:rsid w:val="00DB6A2E"/>
    <w:rsid w:val="00DB7B39"/>
    <w:rsid w:val="00DB7F2A"/>
    <w:rsid w:val="00DC017A"/>
    <w:rsid w:val="00DC2F78"/>
    <w:rsid w:val="00DC3EB5"/>
    <w:rsid w:val="00DC3EC8"/>
    <w:rsid w:val="00DC45B6"/>
    <w:rsid w:val="00DC72B5"/>
    <w:rsid w:val="00DD0787"/>
    <w:rsid w:val="00DD2F6E"/>
    <w:rsid w:val="00DD52EE"/>
    <w:rsid w:val="00DD6771"/>
    <w:rsid w:val="00DD6EA8"/>
    <w:rsid w:val="00DD770B"/>
    <w:rsid w:val="00DE0658"/>
    <w:rsid w:val="00DE1566"/>
    <w:rsid w:val="00DE27FE"/>
    <w:rsid w:val="00DE4FB4"/>
    <w:rsid w:val="00DE5CCD"/>
    <w:rsid w:val="00DE71EA"/>
    <w:rsid w:val="00DF02EE"/>
    <w:rsid w:val="00DF0742"/>
    <w:rsid w:val="00DF14F1"/>
    <w:rsid w:val="00DF271C"/>
    <w:rsid w:val="00DF32D9"/>
    <w:rsid w:val="00DF3DD6"/>
    <w:rsid w:val="00DF3E86"/>
    <w:rsid w:val="00DF4CDD"/>
    <w:rsid w:val="00DF53AB"/>
    <w:rsid w:val="00DF59B8"/>
    <w:rsid w:val="00DF6097"/>
    <w:rsid w:val="00DF7EEE"/>
    <w:rsid w:val="00E00189"/>
    <w:rsid w:val="00E00366"/>
    <w:rsid w:val="00E00BC8"/>
    <w:rsid w:val="00E01783"/>
    <w:rsid w:val="00E023DA"/>
    <w:rsid w:val="00E0266A"/>
    <w:rsid w:val="00E02DAE"/>
    <w:rsid w:val="00E0319E"/>
    <w:rsid w:val="00E0385D"/>
    <w:rsid w:val="00E0706A"/>
    <w:rsid w:val="00E11279"/>
    <w:rsid w:val="00E12159"/>
    <w:rsid w:val="00E12958"/>
    <w:rsid w:val="00E12A8E"/>
    <w:rsid w:val="00E13B11"/>
    <w:rsid w:val="00E156FC"/>
    <w:rsid w:val="00E179E5"/>
    <w:rsid w:val="00E2013C"/>
    <w:rsid w:val="00E22CA9"/>
    <w:rsid w:val="00E235F4"/>
    <w:rsid w:val="00E23DBC"/>
    <w:rsid w:val="00E23E88"/>
    <w:rsid w:val="00E26D5C"/>
    <w:rsid w:val="00E26F1D"/>
    <w:rsid w:val="00E302F3"/>
    <w:rsid w:val="00E3084A"/>
    <w:rsid w:val="00E3351B"/>
    <w:rsid w:val="00E335AE"/>
    <w:rsid w:val="00E3524E"/>
    <w:rsid w:val="00E360D7"/>
    <w:rsid w:val="00E40785"/>
    <w:rsid w:val="00E40BD2"/>
    <w:rsid w:val="00E420C8"/>
    <w:rsid w:val="00E422D4"/>
    <w:rsid w:val="00E43E2E"/>
    <w:rsid w:val="00E44029"/>
    <w:rsid w:val="00E440B1"/>
    <w:rsid w:val="00E44F55"/>
    <w:rsid w:val="00E46868"/>
    <w:rsid w:val="00E46AD7"/>
    <w:rsid w:val="00E46E32"/>
    <w:rsid w:val="00E46E9F"/>
    <w:rsid w:val="00E47303"/>
    <w:rsid w:val="00E47869"/>
    <w:rsid w:val="00E51DBC"/>
    <w:rsid w:val="00E538FC"/>
    <w:rsid w:val="00E53A09"/>
    <w:rsid w:val="00E53C6D"/>
    <w:rsid w:val="00E54B35"/>
    <w:rsid w:val="00E57B35"/>
    <w:rsid w:val="00E57E98"/>
    <w:rsid w:val="00E60638"/>
    <w:rsid w:val="00E60B1B"/>
    <w:rsid w:val="00E631A1"/>
    <w:rsid w:val="00E63E03"/>
    <w:rsid w:val="00E64760"/>
    <w:rsid w:val="00E64793"/>
    <w:rsid w:val="00E656B8"/>
    <w:rsid w:val="00E6582A"/>
    <w:rsid w:val="00E66B41"/>
    <w:rsid w:val="00E66E32"/>
    <w:rsid w:val="00E671AC"/>
    <w:rsid w:val="00E703A5"/>
    <w:rsid w:val="00E70605"/>
    <w:rsid w:val="00E721C1"/>
    <w:rsid w:val="00E72682"/>
    <w:rsid w:val="00E738FF"/>
    <w:rsid w:val="00E74DDE"/>
    <w:rsid w:val="00E75736"/>
    <w:rsid w:val="00E76FE3"/>
    <w:rsid w:val="00E82AE2"/>
    <w:rsid w:val="00E83803"/>
    <w:rsid w:val="00E83E3D"/>
    <w:rsid w:val="00E844E9"/>
    <w:rsid w:val="00E872A6"/>
    <w:rsid w:val="00E87858"/>
    <w:rsid w:val="00E87874"/>
    <w:rsid w:val="00E95258"/>
    <w:rsid w:val="00E95A8F"/>
    <w:rsid w:val="00E95BD3"/>
    <w:rsid w:val="00E95EAF"/>
    <w:rsid w:val="00E96620"/>
    <w:rsid w:val="00EA0A9E"/>
    <w:rsid w:val="00EA1CA1"/>
    <w:rsid w:val="00EA1F8D"/>
    <w:rsid w:val="00EA302A"/>
    <w:rsid w:val="00EA304F"/>
    <w:rsid w:val="00EA3104"/>
    <w:rsid w:val="00EA3245"/>
    <w:rsid w:val="00EA4974"/>
    <w:rsid w:val="00EA4DA5"/>
    <w:rsid w:val="00EA6DD7"/>
    <w:rsid w:val="00EA6E1B"/>
    <w:rsid w:val="00EA7582"/>
    <w:rsid w:val="00EA7878"/>
    <w:rsid w:val="00EB0408"/>
    <w:rsid w:val="00EB2EDC"/>
    <w:rsid w:val="00EB339B"/>
    <w:rsid w:val="00EB4300"/>
    <w:rsid w:val="00EB4489"/>
    <w:rsid w:val="00EB5BCB"/>
    <w:rsid w:val="00EB5ECE"/>
    <w:rsid w:val="00EB6AFA"/>
    <w:rsid w:val="00EB6C9C"/>
    <w:rsid w:val="00EB7721"/>
    <w:rsid w:val="00EB799D"/>
    <w:rsid w:val="00EC0ECF"/>
    <w:rsid w:val="00EC2465"/>
    <w:rsid w:val="00EC722B"/>
    <w:rsid w:val="00EC7C99"/>
    <w:rsid w:val="00EC7E4C"/>
    <w:rsid w:val="00ED03F9"/>
    <w:rsid w:val="00ED0D29"/>
    <w:rsid w:val="00ED190A"/>
    <w:rsid w:val="00ED1E08"/>
    <w:rsid w:val="00ED3E66"/>
    <w:rsid w:val="00ED45C9"/>
    <w:rsid w:val="00ED498F"/>
    <w:rsid w:val="00ED52E0"/>
    <w:rsid w:val="00ED5B13"/>
    <w:rsid w:val="00ED665E"/>
    <w:rsid w:val="00ED6A73"/>
    <w:rsid w:val="00ED79BF"/>
    <w:rsid w:val="00ED7FF0"/>
    <w:rsid w:val="00EE1E71"/>
    <w:rsid w:val="00EE3FBA"/>
    <w:rsid w:val="00EE3FBC"/>
    <w:rsid w:val="00EE47A1"/>
    <w:rsid w:val="00EE47D1"/>
    <w:rsid w:val="00EE4BEB"/>
    <w:rsid w:val="00EE51C1"/>
    <w:rsid w:val="00EE5312"/>
    <w:rsid w:val="00EE5386"/>
    <w:rsid w:val="00EE6CA9"/>
    <w:rsid w:val="00EE716D"/>
    <w:rsid w:val="00EF06BE"/>
    <w:rsid w:val="00EF2A36"/>
    <w:rsid w:val="00EF4242"/>
    <w:rsid w:val="00EF44F7"/>
    <w:rsid w:val="00EF4DE0"/>
    <w:rsid w:val="00EF5257"/>
    <w:rsid w:val="00EF6037"/>
    <w:rsid w:val="00EF614F"/>
    <w:rsid w:val="00EF65B5"/>
    <w:rsid w:val="00EF6969"/>
    <w:rsid w:val="00EF6D31"/>
    <w:rsid w:val="00EF6E88"/>
    <w:rsid w:val="00F00DB0"/>
    <w:rsid w:val="00F01072"/>
    <w:rsid w:val="00F014C8"/>
    <w:rsid w:val="00F016FC"/>
    <w:rsid w:val="00F02435"/>
    <w:rsid w:val="00F041FC"/>
    <w:rsid w:val="00F054E6"/>
    <w:rsid w:val="00F075C0"/>
    <w:rsid w:val="00F07FEE"/>
    <w:rsid w:val="00F10AFA"/>
    <w:rsid w:val="00F12BCE"/>
    <w:rsid w:val="00F132C8"/>
    <w:rsid w:val="00F134DE"/>
    <w:rsid w:val="00F14024"/>
    <w:rsid w:val="00F15452"/>
    <w:rsid w:val="00F15784"/>
    <w:rsid w:val="00F16AD1"/>
    <w:rsid w:val="00F16D5D"/>
    <w:rsid w:val="00F16DA5"/>
    <w:rsid w:val="00F1763B"/>
    <w:rsid w:val="00F17C8E"/>
    <w:rsid w:val="00F20305"/>
    <w:rsid w:val="00F203ED"/>
    <w:rsid w:val="00F204B2"/>
    <w:rsid w:val="00F20888"/>
    <w:rsid w:val="00F21175"/>
    <w:rsid w:val="00F2192C"/>
    <w:rsid w:val="00F223D2"/>
    <w:rsid w:val="00F233B2"/>
    <w:rsid w:val="00F236CD"/>
    <w:rsid w:val="00F24023"/>
    <w:rsid w:val="00F25ABB"/>
    <w:rsid w:val="00F3138F"/>
    <w:rsid w:val="00F32466"/>
    <w:rsid w:val="00F32C04"/>
    <w:rsid w:val="00F33115"/>
    <w:rsid w:val="00F3456D"/>
    <w:rsid w:val="00F348C1"/>
    <w:rsid w:val="00F34D16"/>
    <w:rsid w:val="00F367C1"/>
    <w:rsid w:val="00F40B3E"/>
    <w:rsid w:val="00F40E83"/>
    <w:rsid w:val="00F445C2"/>
    <w:rsid w:val="00F4468B"/>
    <w:rsid w:val="00F455DD"/>
    <w:rsid w:val="00F458A8"/>
    <w:rsid w:val="00F46128"/>
    <w:rsid w:val="00F510D1"/>
    <w:rsid w:val="00F51949"/>
    <w:rsid w:val="00F53633"/>
    <w:rsid w:val="00F55AE3"/>
    <w:rsid w:val="00F571F5"/>
    <w:rsid w:val="00F57822"/>
    <w:rsid w:val="00F600C7"/>
    <w:rsid w:val="00F601C2"/>
    <w:rsid w:val="00F60702"/>
    <w:rsid w:val="00F60B44"/>
    <w:rsid w:val="00F610FE"/>
    <w:rsid w:val="00F614EB"/>
    <w:rsid w:val="00F61D3B"/>
    <w:rsid w:val="00F620EF"/>
    <w:rsid w:val="00F62364"/>
    <w:rsid w:val="00F64A4E"/>
    <w:rsid w:val="00F65990"/>
    <w:rsid w:val="00F66890"/>
    <w:rsid w:val="00F66D68"/>
    <w:rsid w:val="00F72510"/>
    <w:rsid w:val="00F72944"/>
    <w:rsid w:val="00F739D3"/>
    <w:rsid w:val="00F73EDC"/>
    <w:rsid w:val="00F76E91"/>
    <w:rsid w:val="00F81E98"/>
    <w:rsid w:val="00F82516"/>
    <w:rsid w:val="00F82AE6"/>
    <w:rsid w:val="00F830B1"/>
    <w:rsid w:val="00F842E2"/>
    <w:rsid w:val="00F84474"/>
    <w:rsid w:val="00F84BA0"/>
    <w:rsid w:val="00F85C48"/>
    <w:rsid w:val="00F86B54"/>
    <w:rsid w:val="00F911CF"/>
    <w:rsid w:val="00F915E8"/>
    <w:rsid w:val="00F91770"/>
    <w:rsid w:val="00F91A76"/>
    <w:rsid w:val="00F91BEE"/>
    <w:rsid w:val="00F91ECD"/>
    <w:rsid w:val="00F91F72"/>
    <w:rsid w:val="00F92F55"/>
    <w:rsid w:val="00F9349E"/>
    <w:rsid w:val="00F9389F"/>
    <w:rsid w:val="00F949DD"/>
    <w:rsid w:val="00F95FB0"/>
    <w:rsid w:val="00F9683E"/>
    <w:rsid w:val="00F9785C"/>
    <w:rsid w:val="00F97F31"/>
    <w:rsid w:val="00FA0656"/>
    <w:rsid w:val="00FA0FED"/>
    <w:rsid w:val="00FA1F1E"/>
    <w:rsid w:val="00FA2738"/>
    <w:rsid w:val="00FA2B8A"/>
    <w:rsid w:val="00FA2BD6"/>
    <w:rsid w:val="00FA4F43"/>
    <w:rsid w:val="00FA53F8"/>
    <w:rsid w:val="00FA59C2"/>
    <w:rsid w:val="00FB046D"/>
    <w:rsid w:val="00FB1305"/>
    <w:rsid w:val="00FB465C"/>
    <w:rsid w:val="00FB4C1B"/>
    <w:rsid w:val="00FB5773"/>
    <w:rsid w:val="00FB5ACA"/>
    <w:rsid w:val="00FC2740"/>
    <w:rsid w:val="00FC281E"/>
    <w:rsid w:val="00FC2954"/>
    <w:rsid w:val="00FC392D"/>
    <w:rsid w:val="00FC3DB8"/>
    <w:rsid w:val="00FC5E94"/>
    <w:rsid w:val="00FC63F4"/>
    <w:rsid w:val="00FC668A"/>
    <w:rsid w:val="00FC675B"/>
    <w:rsid w:val="00FD11DB"/>
    <w:rsid w:val="00FD16C8"/>
    <w:rsid w:val="00FD1926"/>
    <w:rsid w:val="00FD1C0A"/>
    <w:rsid w:val="00FD259F"/>
    <w:rsid w:val="00FD282D"/>
    <w:rsid w:val="00FD3459"/>
    <w:rsid w:val="00FD3511"/>
    <w:rsid w:val="00FD4BF5"/>
    <w:rsid w:val="00FD56C6"/>
    <w:rsid w:val="00FD608E"/>
    <w:rsid w:val="00FD68B3"/>
    <w:rsid w:val="00FD6A88"/>
    <w:rsid w:val="00FD7DC8"/>
    <w:rsid w:val="00FE0466"/>
    <w:rsid w:val="00FE2260"/>
    <w:rsid w:val="00FE330A"/>
    <w:rsid w:val="00FE4F50"/>
    <w:rsid w:val="00FE4F8D"/>
    <w:rsid w:val="00FE5387"/>
    <w:rsid w:val="00FE6913"/>
    <w:rsid w:val="00FF2E6F"/>
    <w:rsid w:val="00FF3D90"/>
    <w:rsid w:val="00FF3E4C"/>
    <w:rsid w:val="00FF6489"/>
    <w:rsid w:val="00FF6CBF"/>
    <w:rsid w:val="00FF6CC3"/>
    <w:rsid w:val="00FF6F74"/>
    <w:rsid w:val="00FF7076"/>
    <w:rsid w:val="00FF7D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8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heme="minorBidi"/>
        <w:sz w:val="22"/>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DCG2,Mise en Forme DCG"/>
    <w:qFormat/>
    <w:rsid w:val="003275F1"/>
    <w:pPr>
      <w:jc w:val="both"/>
    </w:pPr>
    <w:rPr>
      <w:rFonts w:cs="Times New Roman"/>
      <w:sz w:val="24"/>
      <w:szCs w:val="22"/>
      <w:lang w:eastAsia="fr-FR"/>
    </w:rPr>
  </w:style>
  <w:style w:type="paragraph" w:styleId="Titre1">
    <w:name w:val="heading 1"/>
    <w:basedOn w:val="Normal"/>
    <w:next w:val="Normal"/>
    <w:link w:val="Titre1Car"/>
    <w:qFormat/>
    <w:rsid w:val="007815B3"/>
    <w:pPr>
      <w:keepNext/>
      <w:spacing w:before="240" w:after="60" w:line="276" w:lineRule="auto"/>
      <w:jc w:val="left"/>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nhideWhenUsed/>
    <w:qFormat/>
    <w:rsid w:val="007815B3"/>
    <w:pPr>
      <w:keepNext/>
      <w:spacing w:before="240" w:after="60" w:line="276" w:lineRule="auto"/>
      <w:jc w:val="left"/>
      <w:outlineLvl w:val="1"/>
    </w:pPr>
    <w:rPr>
      <w:rFonts w:asciiTheme="majorHAnsi" w:eastAsiaTheme="majorEastAsia" w:hAnsiTheme="majorHAnsi" w:cstheme="majorBidi"/>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DCG">
    <w:name w:val="StyleDCG"/>
    <w:basedOn w:val="Sansinterligne"/>
    <w:rsid w:val="00AE58F2"/>
  </w:style>
  <w:style w:type="paragraph" w:styleId="Sansinterligne">
    <w:name w:val="No Spacing"/>
    <w:link w:val="SansinterligneCar"/>
    <w:uiPriority w:val="1"/>
    <w:qFormat/>
    <w:rsid w:val="007815B3"/>
    <w:rPr>
      <w:bCs/>
      <w:lang w:eastAsia="fr-FR"/>
    </w:rPr>
  </w:style>
  <w:style w:type="character" w:customStyle="1" w:styleId="Titre1Car">
    <w:name w:val="Titre 1 Car"/>
    <w:link w:val="Titre1"/>
    <w:uiPriority w:val="9"/>
    <w:rsid w:val="007815B3"/>
    <w:rPr>
      <w:rFonts w:asciiTheme="majorHAnsi" w:eastAsiaTheme="majorEastAsia" w:hAnsiTheme="majorHAnsi" w:cstheme="majorBidi"/>
      <w:b/>
      <w:bCs/>
      <w:kern w:val="32"/>
      <w:sz w:val="32"/>
      <w:szCs w:val="32"/>
      <w:lang w:eastAsia="fr-FR"/>
    </w:rPr>
  </w:style>
  <w:style w:type="paragraph" w:styleId="Paragraphedeliste">
    <w:name w:val="List Paragraph"/>
    <w:basedOn w:val="Normal"/>
    <w:link w:val="ParagraphedelisteCar"/>
    <w:uiPriority w:val="34"/>
    <w:qFormat/>
    <w:rsid w:val="007815B3"/>
    <w:pPr>
      <w:ind w:left="720"/>
      <w:contextualSpacing/>
      <w:jc w:val="left"/>
    </w:pPr>
    <w:rPr>
      <w:sz w:val="22"/>
      <w:szCs w:val="24"/>
    </w:rPr>
  </w:style>
  <w:style w:type="paragraph" w:customStyle="1" w:styleId="StyleTimesnr">
    <w:name w:val="StyleTimes nr"/>
    <w:basedOn w:val="Normal"/>
    <w:link w:val="StyleTimesnrCar"/>
    <w:rsid w:val="00AE58F2"/>
    <w:pPr>
      <w:spacing w:after="200" w:line="276" w:lineRule="auto"/>
      <w:jc w:val="left"/>
    </w:pPr>
    <w:rPr>
      <w:rFonts w:eastAsia="Calibri"/>
      <w:b/>
      <w:sz w:val="22"/>
      <w:szCs w:val="20"/>
    </w:rPr>
  </w:style>
  <w:style w:type="character" w:customStyle="1" w:styleId="StyleTimesnrCar">
    <w:name w:val="StyleTimes nr Car"/>
    <w:link w:val="StyleTimesnr"/>
    <w:rsid w:val="00AE58F2"/>
    <w:rPr>
      <w:b/>
      <w:lang w:eastAsia="fr-FR"/>
    </w:rPr>
  </w:style>
  <w:style w:type="character" w:customStyle="1" w:styleId="Titre2Car">
    <w:name w:val="Titre 2 Car"/>
    <w:link w:val="Titre2"/>
    <w:uiPriority w:val="9"/>
    <w:semiHidden/>
    <w:rsid w:val="007815B3"/>
    <w:rPr>
      <w:rFonts w:asciiTheme="majorHAnsi" w:eastAsiaTheme="majorEastAsia" w:hAnsiTheme="majorHAnsi" w:cstheme="majorBidi"/>
      <w:b/>
      <w:bCs/>
      <w:i/>
      <w:iCs/>
      <w:sz w:val="28"/>
      <w:szCs w:val="28"/>
      <w:lang w:eastAsia="fr-FR"/>
    </w:rPr>
  </w:style>
  <w:style w:type="character" w:customStyle="1" w:styleId="SansinterligneCar">
    <w:name w:val="Sans interligne Car"/>
    <w:link w:val="Sansinterligne"/>
    <w:uiPriority w:val="1"/>
    <w:rsid w:val="007815B3"/>
    <w:rPr>
      <w:bCs/>
      <w:lang w:eastAsia="fr-FR"/>
    </w:rPr>
  </w:style>
  <w:style w:type="paragraph" w:customStyle="1" w:styleId="TypeDCG">
    <w:name w:val="Type DCG"/>
    <w:basedOn w:val="StyleDCG"/>
    <w:link w:val="TypeDCGCar"/>
    <w:autoRedefine/>
    <w:rsid w:val="00AE58F2"/>
  </w:style>
  <w:style w:type="character" w:customStyle="1" w:styleId="TypeDCGCar">
    <w:name w:val="Type DCG Car"/>
    <w:basedOn w:val="Policepardfaut"/>
    <w:link w:val="TypeDCG"/>
    <w:rsid w:val="00AE58F2"/>
    <w:rPr>
      <w:bCs/>
      <w:sz w:val="22"/>
      <w:lang w:eastAsia="fr-FR"/>
    </w:rPr>
  </w:style>
  <w:style w:type="paragraph" w:customStyle="1" w:styleId="DCG16">
    <w:name w:val="DCG16"/>
    <w:basedOn w:val="Paragraphedeliste"/>
    <w:link w:val="DCG16Car"/>
    <w:autoRedefine/>
    <w:rsid w:val="00AE58F2"/>
    <w:pPr>
      <w:numPr>
        <w:numId w:val="2"/>
      </w:numPr>
    </w:pPr>
    <w:rPr>
      <w:szCs w:val="22"/>
    </w:rPr>
  </w:style>
  <w:style w:type="character" w:customStyle="1" w:styleId="DCG16Car">
    <w:name w:val="DCG16 Car"/>
    <w:basedOn w:val="ParagraphedelisteCar"/>
    <w:link w:val="DCG16"/>
    <w:rsid w:val="00AE58F2"/>
    <w:rPr>
      <w:sz w:val="22"/>
      <w:szCs w:val="22"/>
    </w:rPr>
  </w:style>
  <w:style w:type="paragraph" w:customStyle="1" w:styleId="Roman11">
    <w:name w:val="Roman11"/>
    <w:basedOn w:val="Normal"/>
    <w:link w:val="Roman11Car"/>
    <w:autoRedefine/>
    <w:qFormat/>
    <w:rsid w:val="000865CF"/>
    <w:pPr>
      <w:jc w:val="left"/>
    </w:pPr>
    <w:rPr>
      <w:rFonts w:eastAsiaTheme="minorHAnsi"/>
      <w:sz w:val="22"/>
    </w:rPr>
  </w:style>
  <w:style w:type="character" w:customStyle="1" w:styleId="Roman11Car">
    <w:name w:val="Roman11 Car"/>
    <w:basedOn w:val="Policepardfaut"/>
    <w:link w:val="Roman11"/>
    <w:rsid w:val="000865CF"/>
    <w:rPr>
      <w:rFonts w:eastAsiaTheme="minorHAnsi" w:cstheme="minorBidi"/>
      <w:sz w:val="22"/>
      <w:szCs w:val="22"/>
      <w:lang w:eastAsia="fr-FR"/>
    </w:rPr>
  </w:style>
  <w:style w:type="paragraph" w:customStyle="1" w:styleId="Style4">
    <w:name w:val="Style4"/>
    <w:basedOn w:val="Sansinterligne"/>
    <w:link w:val="Style4Car"/>
    <w:qFormat/>
    <w:rsid w:val="007815B3"/>
    <w:rPr>
      <w:bCs w:val="0"/>
      <w:szCs w:val="22"/>
      <w:lang w:eastAsia="en-US"/>
    </w:rPr>
  </w:style>
  <w:style w:type="character" w:customStyle="1" w:styleId="Style4Car">
    <w:name w:val="Style4 Car"/>
    <w:link w:val="Style4"/>
    <w:rsid w:val="007815B3"/>
    <w:rPr>
      <w:sz w:val="22"/>
      <w:szCs w:val="22"/>
    </w:rPr>
  </w:style>
  <w:style w:type="character" w:customStyle="1" w:styleId="ParagraphedelisteCar">
    <w:name w:val="Paragraphe de liste Car"/>
    <w:basedOn w:val="Policepardfaut"/>
    <w:link w:val="Paragraphedeliste"/>
    <w:uiPriority w:val="34"/>
    <w:rsid w:val="007815B3"/>
    <w:rPr>
      <w:sz w:val="22"/>
      <w:szCs w:val="24"/>
    </w:rPr>
  </w:style>
  <w:style w:type="paragraph" w:styleId="En-tte">
    <w:name w:val="header"/>
    <w:basedOn w:val="Normal"/>
    <w:link w:val="En-tteCar"/>
    <w:uiPriority w:val="99"/>
    <w:unhideWhenUsed/>
    <w:rsid w:val="00AE58F2"/>
    <w:pPr>
      <w:tabs>
        <w:tab w:val="center" w:pos="4536"/>
        <w:tab w:val="right" w:pos="9072"/>
      </w:tabs>
      <w:jc w:val="left"/>
    </w:pPr>
    <w:rPr>
      <w:rFonts w:eastAsia="Calibri"/>
      <w:bCs/>
      <w:sz w:val="22"/>
      <w:szCs w:val="20"/>
    </w:rPr>
  </w:style>
  <w:style w:type="character" w:customStyle="1" w:styleId="En-tteCar">
    <w:name w:val="En-tête Car"/>
    <w:basedOn w:val="Policepardfaut"/>
    <w:link w:val="En-tte"/>
    <w:uiPriority w:val="99"/>
    <w:rsid w:val="00AE58F2"/>
    <w:rPr>
      <w:bCs/>
      <w:lang w:eastAsia="fr-FR"/>
    </w:rPr>
  </w:style>
  <w:style w:type="paragraph" w:styleId="Pieddepage">
    <w:name w:val="footer"/>
    <w:basedOn w:val="Normal"/>
    <w:link w:val="PieddepageCar"/>
    <w:uiPriority w:val="99"/>
    <w:unhideWhenUsed/>
    <w:rsid w:val="00AE58F2"/>
    <w:pPr>
      <w:tabs>
        <w:tab w:val="center" w:pos="4536"/>
        <w:tab w:val="right" w:pos="9072"/>
      </w:tabs>
      <w:jc w:val="left"/>
    </w:pPr>
    <w:rPr>
      <w:rFonts w:eastAsia="Calibri"/>
      <w:bCs/>
      <w:sz w:val="22"/>
      <w:szCs w:val="20"/>
    </w:rPr>
  </w:style>
  <w:style w:type="character" w:customStyle="1" w:styleId="PieddepageCar">
    <w:name w:val="Pied de page Car"/>
    <w:basedOn w:val="Policepardfaut"/>
    <w:link w:val="Pieddepage"/>
    <w:uiPriority w:val="99"/>
    <w:rsid w:val="00AE58F2"/>
    <w:rPr>
      <w:bCs/>
      <w:lang w:eastAsia="fr-FR"/>
    </w:rPr>
  </w:style>
  <w:style w:type="paragraph" w:styleId="Textedebulles">
    <w:name w:val="Balloon Text"/>
    <w:basedOn w:val="Normal"/>
    <w:link w:val="TextedebullesCar"/>
    <w:uiPriority w:val="99"/>
    <w:semiHidden/>
    <w:unhideWhenUsed/>
    <w:rsid w:val="00AE58F2"/>
    <w:pPr>
      <w:jc w:val="left"/>
    </w:pPr>
    <w:rPr>
      <w:rFonts w:ascii="Tahoma" w:eastAsia="Calibri" w:hAnsi="Tahoma" w:cs="Tahoma"/>
      <w:bCs/>
      <w:sz w:val="16"/>
      <w:szCs w:val="16"/>
    </w:rPr>
  </w:style>
  <w:style w:type="character" w:customStyle="1" w:styleId="TextedebullesCar">
    <w:name w:val="Texte de bulles Car"/>
    <w:basedOn w:val="Policepardfaut"/>
    <w:link w:val="Textedebulles"/>
    <w:uiPriority w:val="99"/>
    <w:semiHidden/>
    <w:rsid w:val="00AE58F2"/>
    <w:rPr>
      <w:rFonts w:ascii="Tahoma" w:hAnsi="Tahoma" w:cs="Tahoma"/>
      <w:bCs/>
      <w:sz w:val="16"/>
      <w:szCs w:val="16"/>
      <w:lang w:eastAsia="fr-FR"/>
    </w:rPr>
  </w:style>
  <w:style w:type="table" w:styleId="Grilledutableau">
    <w:name w:val="Table Grid"/>
    <w:basedOn w:val="TableauNormal"/>
    <w:uiPriority w:val="59"/>
    <w:rsid w:val="00AE58F2"/>
    <w:rPr>
      <w:rFonts w:asciiTheme="minorHAnsi" w:eastAsiaTheme="minorHAnsi" w:hAnsiTheme="minorHAns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DCG0">
    <w:name w:val="STYLE DCG"/>
    <w:basedOn w:val="Normal"/>
    <w:link w:val="STYLEDCGCar"/>
    <w:qFormat/>
    <w:rsid w:val="007815B3"/>
    <w:pPr>
      <w:widowControl w:val="0"/>
      <w:autoSpaceDE w:val="0"/>
      <w:autoSpaceDN w:val="0"/>
      <w:adjustRightInd w:val="0"/>
    </w:pPr>
    <w:rPr>
      <w:sz w:val="22"/>
    </w:rPr>
  </w:style>
  <w:style w:type="character" w:customStyle="1" w:styleId="STYLEDCGCar">
    <w:name w:val="STYLE DCG Car"/>
    <w:link w:val="STYLEDCG0"/>
    <w:rsid w:val="007815B3"/>
    <w:rPr>
      <w:sz w:val="22"/>
      <w:szCs w:val="22"/>
      <w:lang w:eastAsia="fr-FR"/>
    </w:rPr>
  </w:style>
  <w:style w:type="paragraph" w:customStyle="1" w:styleId="StyleSTYLEDCG">
    <w:name w:val="Style STYLE DCG +"/>
    <w:basedOn w:val="STYLEDCG0"/>
    <w:autoRedefine/>
    <w:qFormat/>
    <w:rsid w:val="000865CF"/>
  </w:style>
  <w:style w:type="paragraph" w:styleId="Titre">
    <w:name w:val="Title"/>
    <w:basedOn w:val="Normal"/>
    <w:link w:val="TitreCar"/>
    <w:qFormat/>
    <w:rsid w:val="003275F1"/>
    <w:pPr>
      <w:widowControl w:val="0"/>
      <w:overflowPunct w:val="0"/>
      <w:autoSpaceDE w:val="0"/>
      <w:autoSpaceDN w:val="0"/>
      <w:adjustRightInd w:val="0"/>
      <w:jc w:val="center"/>
      <w:textAlignment w:val="baseline"/>
    </w:pPr>
    <w:rPr>
      <w:noProof/>
      <w:sz w:val="28"/>
      <w:szCs w:val="28"/>
    </w:rPr>
  </w:style>
  <w:style w:type="character" w:customStyle="1" w:styleId="TitreCar">
    <w:name w:val="Titre Car"/>
    <w:basedOn w:val="Policepardfaut"/>
    <w:link w:val="Titre"/>
    <w:rsid w:val="003275F1"/>
    <w:rPr>
      <w:rFonts w:cs="Times New Roman"/>
      <w:noProof/>
      <w:sz w:val="28"/>
      <w:szCs w:val="28"/>
      <w:lang w:eastAsia="fr-FR"/>
    </w:rPr>
  </w:style>
  <w:style w:type="character" w:styleId="Numrodepage">
    <w:name w:val="page number"/>
    <w:basedOn w:val="Policepardfaut"/>
    <w:rsid w:val="003275F1"/>
  </w:style>
  <w:style w:type="paragraph" w:customStyle="1" w:styleId="paragraphe-western">
    <w:name w:val="paragraphe-western"/>
    <w:basedOn w:val="Normal"/>
    <w:rsid w:val="006E1835"/>
    <w:pPr>
      <w:spacing w:before="100" w:beforeAutospacing="1" w:after="100" w:afterAutospacing="1"/>
      <w:jc w:val="left"/>
    </w:pPr>
    <w:rPr>
      <w:szCs w:val="24"/>
    </w:rPr>
  </w:style>
  <w:style w:type="character" w:styleId="Lienhypertexte">
    <w:name w:val="Hyperlink"/>
    <w:basedOn w:val="Policepardfaut"/>
    <w:uiPriority w:val="99"/>
    <w:semiHidden/>
    <w:unhideWhenUsed/>
    <w:rsid w:val="006E1835"/>
    <w:rPr>
      <w:color w:val="0000FF"/>
      <w:u w:val="single"/>
    </w:rPr>
  </w:style>
  <w:style w:type="character" w:styleId="Accentuation">
    <w:name w:val="Emphasis"/>
    <w:basedOn w:val="Policepardfaut"/>
    <w:uiPriority w:val="20"/>
    <w:qFormat/>
    <w:rsid w:val="006E1835"/>
    <w:rPr>
      <w:i/>
      <w:iCs/>
    </w:rPr>
  </w:style>
  <w:style w:type="paragraph" w:styleId="Retraitcorpsdetexte">
    <w:name w:val="Body Text Indent"/>
    <w:basedOn w:val="Normal"/>
    <w:link w:val="RetraitcorpsdetexteCar"/>
    <w:rsid w:val="00962634"/>
    <w:pPr>
      <w:widowControl w:val="0"/>
      <w:autoSpaceDE w:val="0"/>
      <w:autoSpaceDN w:val="0"/>
      <w:adjustRightInd w:val="0"/>
    </w:pPr>
    <w:rPr>
      <w:rFonts w:ascii="Arial" w:hAnsi="Arial" w:cs="Arial"/>
      <w:sz w:val="22"/>
    </w:rPr>
  </w:style>
  <w:style w:type="character" w:customStyle="1" w:styleId="RetraitcorpsdetexteCar">
    <w:name w:val="Retrait corps de texte Car"/>
    <w:basedOn w:val="Policepardfaut"/>
    <w:link w:val="Retraitcorpsdetexte"/>
    <w:rsid w:val="00962634"/>
    <w:rPr>
      <w:rFonts w:ascii="Arial" w:hAnsi="Arial" w:cs="Arial"/>
      <w:szCs w:val="22"/>
      <w:lang w:eastAsia="fr-FR"/>
    </w:rPr>
  </w:style>
  <w:style w:type="character" w:styleId="Marquedecommentaire">
    <w:name w:val="annotation reference"/>
    <w:basedOn w:val="Policepardfaut"/>
    <w:uiPriority w:val="99"/>
    <w:semiHidden/>
    <w:unhideWhenUsed/>
    <w:rsid w:val="00835D90"/>
    <w:rPr>
      <w:sz w:val="16"/>
      <w:szCs w:val="16"/>
    </w:rPr>
  </w:style>
  <w:style w:type="paragraph" w:styleId="Commentaire">
    <w:name w:val="annotation text"/>
    <w:basedOn w:val="Normal"/>
    <w:link w:val="CommentaireCar"/>
    <w:uiPriority w:val="99"/>
    <w:semiHidden/>
    <w:unhideWhenUsed/>
    <w:rsid w:val="00835D90"/>
    <w:rPr>
      <w:sz w:val="20"/>
      <w:szCs w:val="20"/>
    </w:rPr>
  </w:style>
  <w:style w:type="character" w:customStyle="1" w:styleId="CommentaireCar">
    <w:name w:val="Commentaire Car"/>
    <w:basedOn w:val="Policepardfaut"/>
    <w:link w:val="Commentaire"/>
    <w:uiPriority w:val="99"/>
    <w:semiHidden/>
    <w:rsid w:val="00835D90"/>
    <w:rPr>
      <w:rFont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35D90"/>
    <w:rPr>
      <w:b/>
      <w:bCs/>
    </w:rPr>
  </w:style>
  <w:style w:type="character" w:customStyle="1" w:styleId="ObjetducommentaireCar">
    <w:name w:val="Objet du commentaire Car"/>
    <w:basedOn w:val="CommentaireCar"/>
    <w:link w:val="Objetducommentaire"/>
    <w:uiPriority w:val="99"/>
    <w:semiHidden/>
    <w:rsid w:val="00835D90"/>
    <w:rPr>
      <w:rFonts w:cs="Times New Roman"/>
      <w:b/>
      <w:bCs/>
      <w:sz w:val="20"/>
      <w:szCs w:val="20"/>
      <w:lang w:eastAsia="fr-FR"/>
    </w:rPr>
  </w:style>
  <w:style w:type="table" w:customStyle="1" w:styleId="Grilledutableau1">
    <w:name w:val="Grille du tableau1"/>
    <w:basedOn w:val="TableauNormal"/>
    <w:next w:val="Grilledutableau"/>
    <w:uiPriority w:val="59"/>
    <w:rsid w:val="007A649F"/>
    <w:rPr>
      <w:rFont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heme="minorBidi"/>
        <w:sz w:val="22"/>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DCG2,Mise en Forme DCG"/>
    <w:qFormat/>
    <w:rsid w:val="003275F1"/>
    <w:pPr>
      <w:jc w:val="both"/>
    </w:pPr>
    <w:rPr>
      <w:rFonts w:cs="Times New Roman"/>
      <w:sz w:val="24"/>
      <w:szCs w:val="22"/>
      <w:lang w:eastAsia="fr-FR"/>
    </w:rPr>
  </w:style>
  <w:style w:type="paragraph" w:styleId="Titre1">
    <w:name w:val="heading 1"/>
    <w:basedOn w:val="Normal"/>
    <w:next w:val="Normal"/>
    <w:link w:val="Titre1Car"/>
    <w:qFormat/>
    <w:rsid w:val="007815B3"/>
    <w:pPr>
      <w:keepNext/>
      <w:spacing w:before="240" w:after="60" w:line="276" w:lineRule="auto"/>
      <w:jc w:val="left"/>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nhideWhenUsed/>
    <w:qFormat/>
    <w:rsid w:val="007815B3"/>
    <w:pPr>
      <w:keepNext/>
      <w:spacing w:before="240" w:after="60" w:line="276" w:lineRule="auto"/>
      <w:jc w:val="left"/>
      <w:outlineLvl w:val="1"/>
    </w:pPr>
    <w:rPr>
      <w:rFonts w:asciiTheme="majorHAnsi" w:eastAsiaTheme="majorEastAsia" w:hAnsiTheme="majorHAnsi" w:cstheme="majorBidi"/>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DCG">
    <w:name w:val="StyleDCG"/>
    <w:basedOn w:val="Sansinterligne"/>
    <w:rsid w:val="00AE58F2"/>
  </w:style>
  <w:style w:type="paragraph" w:styleId="Sansinterligne">
    <w:name w:val="No Spacing"/>
    <w:link w:val="SansinterligneCar"/>
    <w:uiPriority w:val="1"/>
    <w:qFormat/>
    <w:rsid w:val="007815B3"/>
    <w:rPr>
      <w:bCs/>
      <w:lang w:eastAsia="fr-FR"/>
    </w:rPr>
  </w:style>
  <w:style w:type="character" w:customStyle="1" w:styleId="Titre1Car">
    <w:name w:val="Titre 1 Car"/>
    <w:link w:val="Titre1"/>
    <w:uiPriority w:val="9"/>
    <w:rsid w:val="007815B3"/>
    <w:rPr>
      <w:rFonts w:asciiTheme="majorHAnsi" w:eastAsiaTheme="majorEastAsia" w:hAnsiTheme="majorHAnsi" w:cstheme="majorBidi"/>
      <w:b/>
      <w:bCs/>
      <w:kern w:val="32"/>
      <w:sz w:val="32"/>
      <w:szCs w:val="32"/>
      <w:lang w:eastAsia="fr-FR"/>
    </w:rPr>
  </w:style>
  <w:style w:type="paragraph" w:styleId="Paragraphedeliste">
    <w:name w:val="List Paragraph"/>
    <w:basedOn w:val="Normal"/>
    <w:link w:val="ParagraphedelisteCar"/>
    <w:uiPriority w:val="34"/>
    <w:qFormat/>
    <w:rsid w:val="007815B3"/>
    <w:pPr>
      <w:ind w:left="720"/>
      <w:contextualSpacing/>
      <w:jc w:val="left"/>
    </w:pPr>
    <w:rPr>
      <w:sz w:val="22"/>
      <w:szCs w:val="24"/>
    </w:rPr>
  </w:style>
  <w:style w:type="paragraph" w:customStyle="1" w:styleId="StyleTimesnr">
    <w:name w:val="StyleTimes nr"/>
    <w:basedOn w:val="Normal"/>
    <w:link w:val="StyleTimesnrCar"/>
    <w:rsid w:val="00AE58F2"/>
    <w:pPr>
      <w:spacing w:after="200" w:line="276" w:lineRule="auto"/>
      <w:jc w:val="left"/>
    </w:pPr>
    <w:rPr>
      <w:rFonts w:eastAsia="Calibri"/>
      <w:b/>
      <w:sz w:val="22"/>
      <w:szCs w:val="20"/>
    </w:rPr>
  </w:style>
  <w:style w:type="character" w:customStyle="1" w:styleId="StyleTimesnrCar">
    <w:name w:val="StyleTimes nr Car"/>
    <w:link w:val="StyleTimesnr"/>
    <w:rsid w:val="00AE58F2"/>
    <w:rPr>
      <w:b/>
      <w:lang w:eastAsia="fr-FR"/>
    </w:rPr>
  </w:style>
  <w:style w:type="character" w:customStyle="1" w:styleId="Titre2Car">
    <w:name w:val="Titre 2 Car"/>
    <w:link w:val="Titre2"/>
    <w:uiPriority w:val="9"/>
    <w:semiHidden/>
    <w:rsid w:val="007815B3"/>
    <w:rPr>
      <w:rFonts w:asciiTheme="majorHAnsi" w:eastAsiaTheme="majorEastAsia" w:hAnsiTheme="majorHAnsi" w:cstheme="majorBidi"/>
      <w:b/>
      <w:bCs/>
      <w:i/>
      <w:iCs/>
      <w:sz w:val="28"/>
      <w:szCs w:val="28"/>
      <w:lang w:eastAsia="fr-FR"/>
    </w:rPr>
  </w:style>
  <w:style w:type="character" w:customStyle="1" w:styleId="SansinterligneCar">
    <w:name w:val="Sans interligne Car"/>
    <w:link w:val="Sansinterligne"/>
    <w:uiPriority w:val="1"/>
    <w:rsid w:val="007815B3"/>
    <w:rPr>
      <w:bCs/>
      <w:lang w:eastAsia="fr-FR"/>
    </w:rPr>
  </w:style>
  <w:style w:type="paragraph" w:customStyle="1" w:styleId="TypeDCG">
    <w:name w:val="Type DCG"/>
    <w:basedOn w:val="StyleDCG"/>
    <w:link w:val="TypeDCGCar"/>
    <w:autoRedefine/>
    <w:rsid w:val="00AE58F2"/>
  </w:style>
  <w:style w:type="character" w:customStyle="1" w:styleId="TypeDCGCar">
    <w:name w:val="Type DCG Car"/>
    <w:basedOn w:val="Policepardfaut"/>
    <w:link w:val="TypeDCG"/>
    <w:rsid w:val="00AE58F2"/>
    <w:rPr>
      <w:bCs/>
      <w:sz w:val="22"/>
      <w:lang w:eastAsia="fr-FR"/>
    </w:rPr>
  </w:style>
  <w:style w:type="paragraph" w:customStyle="1" w:styleId="DCG16">
    <w:name w:val="DCG16"/>
    <w:basedOn w:val="Paragraphedeliste"/>
    <w:link w:val="DCG16Car"/>
    <w:autoRedefine/>
    <w:rsid w:val="00AE58F2"/>
    <w:pPr>
      <w:numPr>
        <w:numId w:val="2"/>
      </w:numPr>
    </w:pPr>
    <w:rPr>
      <w:szCs w:val="22"/>
    </w:rPr>
  </w:style>
  <w:style w:type="character" w:customStyle="1" w:styleId="DCG16Car">
    <w:name w:val="DCG16 Car"/>
    <w:basedOn w:val="ParagraphedelisteCar"/>
    <w:link w:val="DCG16"/>
    <w:rsid w:val="00AE58F2"/>
    <w:rPr>
      <w:sz w:val="22"/>
      <w:szCs w:val="22"/>
    </w:rPr>
  </w:style>
  <w:style w:type="paragraph" w:customStyle="1" w:styleId="Roman11">
    <w:name w:val="Roman11"/>
    <w:basedOn w:val="Normal"/>
    <w:link w:val="Roman11Car"/>
    <w:autoRedefine/>
    <w:qFormat/>
    <w:rsid w:val="000865CF"/>
    <w:pPr>
      <w:jc w:val="left"/>
    </w:pPr>
    <w:rPr>
      <w:rFonts w:eastAsiaTheme="minorHAnsi"/>
      <w:sz w:val="22"/>
    </w:rPr>
  </w:style>
  <w:style w:type="character" w:customStyle="1" w:styleId="Roman11Car">
    <w:name w:val="Roman11 Car"/>
    <w:basedOn w:val="Policepardfaut"/>
    <w:link w:val="Roman11"/>
    <w:rsid w:val="000865CF"/>
    <w:rPr>
      <w:rFonts w:eastAsiaTheme="minorHAnsi" w:cstheme="minorBidi"/>
      <w:sz w:val="22"/>
      <w:szCs w:val="22"/>
      <w:lang w:eastAsia="fr-FR"/>
    </w:rPr>
  </w:style>
  <w:style w:type="paragraph" w:customStyle="1" w:styleId="Style4">
    <w:name w:val="Style4"/>
    <w:basedOn w:val="Sansinterligne"/>
    <w:link w:val="Style4Car"/>
    <w:qFormat/>
    <w:rsid w:val="007815B3"/>
    <w:rPr>
      <w:bCs w:val="0"/>
      <w:szCs w:val="22"/>
      <w:lang w:eastAsia="en-US"/>
    </w:rPr>
  </w:style>
  <w:style w:type="character" w:customStyle="1" w:styleId="Style4Car">
    <w:name w:val="Style4 Car"/>
    <w:link w:val="Style4"/>
    <w:rsid w:val="007815B3"/>
    <w:rPr>
      <w:sz w:val="22"/>
      <w:szCs w:val="22"/>
    </w:rPr>
  </w:style>
  <w:style w:type="character" w:customStyle="1" w:styleId="ParagraphedelisteCar">
    <w:name w:val="Paragraphe de liste Car"/>
    <w:basedOn w:val="Policepardfaut"/>
    <w:link w:val="Paragraphedeliste"/>
    <w:uiPriority w:val="34"/>
    <w:rsid w:val="007815B3"/>
    <w:rPr>
      <w:sz w:val="22"/>
      <w:szCs w:val="24"/>
    </w:rPr>
  </w:style>
  <w:style w:type="paragraph" w:styleId="En-tte">
    <w:name w:val="header"/>
    <w:basedOn w:val="Normal"/>
    <w:link w:val="En-tteCar"/>
    <w:uiPriority w:val="99"/>
    <w:unhideWhenUsed/>
    <w:rsid w:val="00AE58F2"/>
    <w:pPr>
      <w:tabs>
        <w:tab w:val="center" w:pos="4536"/>
        <w:tab w:val="right" w:pos="9072"/>
      </w:tabs>
      <w:jc w:val="left"/>
    </w:pPr>
    <w:rPr>
      <w:rFonts w:eastAsia="Calibri"/>
      <w:bCs/>
      <w:sz w:val="22"/>
      <w:szCs w:val="20"/>
    </w:rPr>
  </w:style>
  <w:style w:type="character" w:customStyle="1" w:styleId="En-tteCar">
    <w:name w:val="En-tête Car"/>
    <w:basedOn w:val="Policepardfaut"/>
    <w:link w:val="En-tte"/>
    <w:uiPriority w:val="99"/>
    <w:rsid w:val="00AE58F2"/>
    <w:rPr>
      <w:bCs/>
      <w:lang w:eastAsia="fr-FR"/>
    </w:rPr>
  </w:style>
  <w:style w:type="paragraph" w:styleId="Pieddepage">
    <w:name w:val="footer"/>
    <w:basedOn w:val="Normal"/>
    <w:link w:val="PieddepageCar"/>
    <w:uiPriority w:val="99"/>
    <w:unhideWhenUsed/>
    <w:rsid w:val="00AE58F2"/>
    <w:pPr>
      <w:tabs>
        <w:tab w:val="center" w:pos="4536"/>
        <w:tab w:val="right" w:pos="9072"/>
      </w:tabs>
      <w:jc w:val="left"/>
    </w:pPr>
    <w:rPr>
      <w:rFonts w:eastAsia="Calibri"/>
      <w:bCs/>
      <w:sz w:val="22"/>
      <w:szCs w:val="20"/>
    </w:rPr>
  </w:style>
  <w:style w:type="character" w:customStyle="1" w:styleId="PieddepageCar">
    <w:name w:val="Pied de page Car"/>
    <w:basedOn w:val="Policepardfaut"/>
    <w:link w:val="Pieddepage"/>
    <w:uiPriority w:val="99"/>
    <w:rsid w:val="00AE58F2"/>
    <w:rPr>
      <w:bCs/>
      <w:lang w:eastAsia="fr-FR"/>
    </w:rPr>
  </w:style>
  <w:style w:type="paragraph" w:styleId="Textedebulles">
    <w:name w:val="Balloon Text"/>
    <w:basedOn w:val="Normal"/>
    <w:link w:val="TextedebullesCar"/>
    <w:uiPriority w:val="99"/>
    <w:semiHidden/>
    <w:unhideWhenUsed/>
    <w:rsid w:val="00AE58F2"/>
    <w:pPr>
      <w:jc w:val="left"/>
    </w:pPr>
    <w:rPr>
      <w:rFonts w:ascii="Tahoma" w:eastAsia="Calibri" w:hAnsi="Tahoma" w:cs="Tahoma"/>
      <w:bCs/>
      <w:sz w:val="16"/>
      <w:szCs w:val="16"/>
    </w:rPr>
  </w:style>
  <w:style w:type="character" w:customStyle="1" w:styleId="TextedebullesCar">
    <w:name w:val="Texte de bulles Car"/>
    <w:basedOn w:val="Policepardfaut"/>
    <w:link w:val="Textedebulles"/>
    <w:uiPriority w:val="99"/>
    <w:semiHidden/>
    <w:rsid w:val="00AE58F2"/>
    <w:rPr>
      <w:rFonts w:ascii="Tahoma" w:hAnsi="Tahoma" w:cs="Tahoma"/>
      <w:bCs/>
      <w:sz w:val="16"/>
      <w:szCs w:val="16"/>
      <w:lang w:eastAsia="fr-FR"/>
    </w:rPr>
  </w:style>
  <w:style w:type="table" w:styleId="Grilledutableau">
    <w:name w:val="Table Grid"/>
    <w:basedOn w:val="TableauNormal"/>
    <w:uiPriority w:val="59"/>
    <w:rsid w:val="00AE58F2"/>
    <w:rPr>
      <w:rFonts w:asciiTheme="minorHAnsi" w:eastAsiaTheme="minorHAnsi" w:hAnsiTheme="minorHAns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DCG0">
    <w:name w:val="STYLE DCG"/>
    <w:basedOn w:val="Normal"/>
    <w:link w:val="STYLEDCGCar"/>
    <w:qFormat/>
    <w:rsid w:val="007815B3"/>
    <w:pPr>
      <w:widowControl w:val="0"/>
      <w:autoSpaceDE w:val="0"/>
      <w:autoSpaceDN w:val="0"/>
      <w:adjustRightInd w:val="0"/>
    </w:pPr>
    <w:rPr>
      <w:sz w:val="22"/>
    </w:rPr>
  </w:style>
  <w:style w:type="character" w:customStyle="1" w:styleId="STYLEDCGCar">
    <w:name w:val="STYLE DCG Car"/>
    <w:link w:val="STYLEDCG0"/>
    <w:rsid w:val="007815B3"/>
    <w:rPr>
      <w:sz w:val="22"/>
      <w:szCs w:val="22"/>
      <w:lang w:eastAsia="fr-FR"/>
    </w:rPr>
  </w:style>
  <w:style w:type="paragraph" w:customStyle="1" w:styleId="StyleSTYLEDCG">
    <w:name w:val="Style STYLE DCG +"/>
    <w:basedOn w:val="STYLEDCG0"/>
    <w:autoRedefine/>
    <w:qFormat/>
    <w:rsid w:val="000865CF"/>
  </w:style>
  <w:style w:type="paragraph" w:styleId="Titre">
    <w:name w:val="Title"/>
    <w:basedOn w:val="Normal"/>
    <w:link w:val="TitreCar"/>
    <w:qFormat/>
    <w:rsid w:val="003275F1"/>
    <w:pPr>
      <w:widowControl w:val="0"/>
      <w:overflowPunct w:val="0"/>
      <w:autoSpaceDE w:val="0"/>
      <w:autoSpaceDN w:val="0"/>
      <w:adjustRightInd w:val="0"/>
      <w:jc w:val="center"/>
      <w:textAlignment w:val="baseline"/>
    </w:pPr>
    <w:rPr>
      <w:noProof/>
      <w:sz w:val="28"/>
      <w:szCs w:val="28"/>
    </w:rPr>
  </w:style>
  <w:style w:type="character" w:customStyle="1" w:styleId="TitreCar">
    <w:name w:val="Titre Car"/>
    <w:basedOn w:val="Policepardfaut"/>
    <w:link w:val="Titre"/>
    <w:rsid w:val="003275F1"/>
    <w:rPr>
      <w:rFonts w:cs="Times New Roman"/>
      <w:noProof/>
      <w:sz w:val="28"/>
      <w:szCs w:val="28"/>
      <w:lang w:eastAsia="fr-FR"/>
    </w:rPr>
  </w:style>
  <w:style w:type="character" w:styleId="Numrodepage">
    <w:name w:val="page number"/>
    <w:basedOn w:val="Policepardfaut"/>
    <w:rsid w:val="003275F1"/>
  </w:style>
  <w:style w:type="paragraph" w:customStyle="1" w:styleId="paragraphe-western">
    <w:name w:val="paragraphe-western"/>
    <w:basedOn w:val="Normal"/>
    <w:rsid w:val="006E1835"/>
    <w:pPr>
      <w:spacing w:before="100" w:beforeAutospacing="1" w:after="100" w:afterAutospacing="1"/>
      <w:jc w:val="left"/>
    </w:pPr>
    <w:rPr>
      <w:szCs w:val="24"/>
    </w:rPr>
  </w:style>
  <w:style w:type="character" w:styleId="Lienhypertexte">
    <w:name w:val="Hyperlink"/>
    <w:basedOn w:val="Policepardfaut"/>
    <w:uiPriority w:val="99"/>
    <w:semiHidden/>
    <w:unhideWhenUsed/>
    <w:rsid w:val="006E1835"/>
    <w:rPr>
      <w:color w:val="0000FF"/>
      <w:u w:val="single"/>
    </w:rPr>
  </w:style>
  <w:style w:type="character" w:styleId="Accentuation">
    <w:name w:val="Emphasis"/>
    <w:basedOn w:val="Policepardfaut"/>
    <w:uiPriority w:val="20"/>
    <w:qFormat/>
    <w:rsid w:val="006E1835"/>
    <w:rPr>
      <w:i/>
      <w:iCs/>
    </w:rPr>
  </w:style>
  <w:style w:type="paragraph" w:styleId="Retraitcorpsdetexte">
    <w:name w:val="Body Text Indent"/>
    <w:basedOn w:val="Normal"/>
    <w:link w:val="RetraitcorpsdetexteCar"/>
    <w:rsid w:val="00962634"/>
    <w:pPr>
      <w:widowControl w:val="0"/>
      <w:autoSpaceDE w:val="0"/>
      <w:autoSpaceDN w:val="0"/>
      <w:adjustRightInd w:val="0"/>
    </w:pPr>
    <w:rPr>
      <w:rFonts w:ascii="Arial" w:hAnsi="Arial" w:cs="Arial"/>
      <w:sz w:val="22"/>
    </w:rPr>
  </w:style>
  <w:style w:type="character" w:customStyle="1" w:styleId="RetraitcorpsdetexteCar">
    <w:name w:val="Retrait corps de texte Car"/>
    <w:basedOn w:val="Policepardfaut"/>
    <w:link w:val="Retraitcorpsdetexte"/>
    <w:rsid w:val="00962634"/>
    <w:rPr>
      <w:rFonts w:ascii="Arial" w:hAnsi="Arial" w:cs="Arial"/>
      <w:szCs w:val="22"/>
      <w:lang w:eastAsia="fr-FR"/>
    </w:rPr>
  </w:style>
  <w:style w:type="character" w:styleId="Marquedecommentaire">
    <w:name w:val="annotation reference"/>
    <w:basedOn w:val="Policepardfaut"/>
    <w:uiPriority w:val="99"/>
    <w:semiHidden/>
    <w:unhideWhenUsed/>
    <w:rsid w:val="00835D90"/>
    <w:rPr>
      <w:sz w:val="16"/>
      <w:szCs w:val="16"/>
    </w:rPr>
  </w:style>
  <w:style w:type="paragraph" w:styleId="Commentaire">
    <w:name w:val="annotation text"/>
    <w:basedOn w:val="Normal"/>
    <w:link w:val="CommentaireCar"/>
    <w:uiPriority w:val="99"/>
    <w:semiHidden/>
    <w:unhideWhenUsed/>
    <w:rsid w:val="00835D90"/>
    <w:rPr>
      <w:sz w:val="20"/>
      <w:szCs w:val="20"/>
    </w:rPr>
  </w:style>
  <w:style w:type="character" w:customStyle="1" w:styleId="CommentaireCar">
    <w:name w:val="Commentaire Car"/>
    <w:basedOn w:val="Policepardfaut"/>
    <w:link w:val="Commentaire"/>
    <w:uiPriority w:val="99"/>
    <w:semiHidden/>
    <w:rsid w:val="00835D90"/>
    <w:rPr>
      <w:rFont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35D90"/>
    <w:rPr>
      <w:b/>
      <w:bCs/>
    </w:rPr>
  </w:style>
  <w:style w:type="character" w:customStyle="1" w:styleId="ObjetducommentaireCar">
    <w:name w:val="Objet du commentaire Car"/>
    <w:basedOn w:val="CommentaireCar"/>
    <w:link w:val="Objetducommentaire"/>
    <w:uiPriority w:val="99"/>
    <w:semiHidden/>
    <w:rsid w:val="00835D90"/>
    <w:rPr>
      <w:rFonts w:cs="Times New Roman"/>
      <w:b/>
      <w:bCs/>
      <w:sz w:val="20"/>
      <w:szCs w:val="20"/>
      <w:lang w:eastAsia="fr-FR"/>
    </w:rPr>
  </w:style>
  <w:style w:type="table" w:customStyle="1" w:styleId="Grilledutableau1">
    <w:name w:val="Grille du tableau1"/>
    <w:basedOn w:val="TableauNormal"/>
    <w:next w:val="Grilledutableau"/>
    <w:uiPriority w:val="59"/>
    <w:rsid w:val="007A649F"/>
    <w:rPr>
      <w:rFont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75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0E160-CDEA-4831-92E5-5897F8E7D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2389</Words>
  <Characters>13141</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ELS</Company>
  <LinksUpToDate>false</LinksUpToDate>
  <CharactersWithSpaces>15500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3</cp:revision>
  <cp:lastPrinted>2020-01-08T12:59:00Z</cp:lastPrinted>
  <dcterms:created xsi:type="dcterms:W3CDTF">2020-12-19T20:32:00Z</dcterms:created>
  <dcterms:modified xsi:type="dcterms:W3CDTF">2020-12-19T20:42:00Z</dcterms:modified>
</cp:coreProperties>
</file>